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hint="eastAsia" w:ascii="Arial" w:hAnsi="Arial" w:cs="Arial"/>
          <w:b/>
          <w:sz w:val="22"/>
          <w:szCs w:val="22"/>
          <w:lang w:eastAsia="zh-CN"/>
        </w:rPr>
        <w:t>#96</w:t>
      </w:r>
      <w:r>
        <w:rPr>
          <w:rFonts w:hint="eastAsia" w:ascii="Arial" w:hAnsi="Arial" w:cs="Arial"/>
          <w:b/>
          <w:sz w:val="22"/>
          <w:szCs w:val="22"/>
          <w:lang w:val="en-US" w:eastAsia="zh-CN"/>
        </w:rPr>
        <w:t xml:space="preserve">                                           </w:t>
      </w:r>
      <w:r>
        <w:rPr>
          <w:rFonts w:hint="eastAsia" w:ascii="Arial" w:hAnsi="Arial" w:cs="Arial"/>
          <w:b/>
          <w:sz w:val="22"/>
          <w:szCs w:val="22"/>
        </w:rPr>
        <w:t>R1-1901778</w:t>
      </w:r>
    </w:p>
    <w:p>
      <w:pPr>
        <w:tabs>
          <w:tab w:val="right" w:pos="9630"/>
        </w:tabs>
        <w:spacing w:after="0"/>
        <w:rPr>
          <w:rFonts w:ascii="Arial" w:hAnsi="Arial" w:cs="Arial"/>
          <w:b/>
          <w:sz w:val="22"/>
          <w:szCs w:val="22"/>
        </w:rPr>
      </w:pPr>
      <w:r>
        <w:rPr>
          <w:rFonts w:hint="eastAsia" w:ascii="Arial" w:hAnsi="Arial" w:cs="Arial"/>
          <w:b/>
          <w:sz w:val="22"/>
          <w:szCs w:val="22"/>
          <w:lang w:eastAsia="zh-CN"/>
        </w:rPr>
        <w:t xml:space="preserve">Athens, Greece, February </w:t>
      </w:r>
      <w:r>
        <w:rPr>
          <w:rFonts w:ascii="Arial" w:hAnsi="Arial" w:cs="Arial"/>
          <w:b/>
          <w:sz w:val="22"/>
          <w:szCs w:val="22"/>
        </w:rPr>
        <w:t>25</w:t>
      </w:r>
      <w:r>
        <w:rPr>
          <w:rFonts w:ascii="Arial" w:hAnsi="Arial" w:cs="Arial"/>
          <w:b/>
          <w:sz w:val="22"/>
          <w:szCs w:val="22"/>
          <w:vertAlign w:val="superscript"/>
        </w:rPr>
        <w:t>th</w:t>
      </w:r>
      <w:r>
        <w:rPr>
          <w:rFonts w:ascii="Arial" w:hAnsi="Arial" w:cs="Arial"/>
          <w:b/>
          <w:sz w:val="22"/>
          <w:szCs w:val="22"/>
        </w:rPr>
        <w:t xml:space="preserve"> – </w:t>
      </w:r>
      <w:r>
        <w:rPr>
          <w:rFonts w:hint="eastAsia" w:ascii="Arial" w:hAnsi="Arial" w:cs="Arial"/>
          <w:b/>
          <w:sz w:val="22"/>
          <w:szCs w:val="22"/>
          <w:lang w:eastAsia="zh-CN"/>
        </w:rPr>
        <w:t>March 1</w:t>
      </w:r>
      <w:r>
        <w:rPr>
          <w:rFonts w:hint="eastAsia" w:ascii="Arial" w:hAnsi="Arial" w:cs="Arial"/>
          <w:b/>
          <w:sz w:val="22"/>
          <w:szCs w:val="22"/>
          <w:vertAlign w:val="superscript"/>
          <w:lang w:eastAsia="zh-CN"/>
        </w:rPr>
        <w:t>st</w:t>
      </w:r>
      <w:r>
        <w:rPr>
          <w:rFonts w:ascii="Arial" w:hAnsi="Arial" w:cs="Arial"/>
          <w:b/>
          <w:sz w:val="22"/>
          <w:szCs w:val="22"/>
        </w:rPr>
        <w:t>, 2019</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single Tx switched uplink solution for EN-DC</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7.2.13.</w:t>
      </w:r>
      <w:r>
        <w:rPr>
          <w:rFonts w:hint="eastAsia" w:ascii="Arial" w:hAnsi="Arial"/>
          <w:b/>
          <w:lang w:eastAsia="zh-CN"/>
        </w:rPr>
        <w:t>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eastAsia="zh-CN"/>
        </w:rPr>
      </w:pPr>
      <w:r>
        <w:rPr>
          <w:rFonts w:hint="eastAsia"/>
          <w:lang w:eastAsia="zh-CN"/>
        </w:rPr>
        <w:t xml:space="preserve">During last meeting, one agreement </w:t>
      </w:r>
      <w:r>
        <w:rPr>
          <w:lang w:eastAsia="zh-CN"/>
        </w:rPr>
        <w:t>has been reached</w:t>
      </w:r>
      <w:r>
        <w:rPr>
          <w:rFonts w:hint="eastAsia"/>
          <w:lang w:eastAsia="zh-CN"/>
        </w:rPr>
        <w:t xml:space="preserve"> as shown below </w:t>
      </w:r>
      <w:r>
        <w:rPr>
          <w:rFonts w:hint="eastAsia"/>
          <w:lang w:eastAsia="zh-CN"/>
        </w:rPr>
        <w:fldChar w:fldCharType="begin"/>
      </w:r>
      <w:r>
        <w:rPr>
          <w:rFonts w:hint="eastAsia"/>
          <w:lang w:eastAsia="zh-CN"/>
        </w:rPr>
        <w:instrText xml:space="preserve"> REF _Ref5899 \n \h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w:t>
      </w:r>
    </w:p>
    <w:tbl>
      <w:tblPr>
        <w:tblStyle w:val="58"/>
        <w:tblW w:w="977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6" w:type="dxa"/>
          </w:tcPr>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textAlignment w:val="baseline"/>
              <w:outlineLvl w:val="9"/>
              <w:rPr>
                <w:rFonts w:ascii="New York" w:hAnsi="New York"/>
              </w:rPr>
            </w:pPr>
            <w:bookmarkStart w:id="14" w:name="_GoBack"/>
            <w:r>
              <w:rPr>
                <w:rFonts w:ascii="New York" w:hAnsi="New York"/>
                <w:highlight w:val="green"/>
              </w:rPr>
              <w:t>Agreement</w:t>
            </w:r>
            <w:r>
              <w:rPr>
                <w:rFonts w:ascii="New York" w:hAnsi="New York"/>
              </w:rPr>
              <w:t>:</w:t>
            </w:r>
          </w:p>
          <w:bookmarkEnd w:id="14"/>
          <w:p>
            <w:pPr>
              <w:numPr>
                <w:ilvl w:val="0"/>
                <w:numId w:val="9"/>
              </w:numPr>
              <w:spacing w:before="120" w:line="280" w:lineRule="atLeast"/>
              <w:rPr>
                <w:rFonts w:ascii="New York" w:hAnsi="New York"/>
                <w:lang w:eastAsia="zh-CN"/>
              </w:rPr>
            </w:pPr>
            <w:r>
              <w:rPr>
                <w:rFonts w:ascii="New York" w:hAnsi="New York"/>
              </w:rPr>
              <w:t>It is concluded that it is beneficial to specify enhancements to single Tx switched uplink solution for EN-DC over the existing single Tx switched uplink solution, e.g. via introducing a new reference HARQ configuration using NR/LTE Rel-15 or LTE eIMTA solution, etc.</w:t>
            </w:r>
          </w:p>
        </w:tc>
      </w:tr>
    </w:tbl>
    <w:p>
      <w:pPr>
        <w:rPr>
          <w:lang w:eastAsia="zh-CN"/>
        </w:rPr>
      </w:pPr>
    </w:p>
    <w:p>
      <w:pPr>
        <w:rPr>
          <w:lang w:eastAsia="zh-CN"/>
        </w:rPr>
      </w:pPr>
      <w:r>
        <w:rPr>
          <w:rFonts w:hint="eastAsia"/>
          <w:lang w:eastAsia="zh-CN"/>
        </w:rPr>
        <w:t>According to our previous offline and online discussion, companies hold different views on enhancements to single Tx switched uplink. Some companies view that this is more like an implementation issue, i.e., no need to introduce further enhancement. Some companies believe that DL enhancement for EN-DC with LTE-TDD-PCell should suffice. Besides, some companies think both UL and DL enhancements for EN-DC are desirable.</w:t>
      </w:r>
    </w:p>
    <w:p>
      <w:pPr>
        <w:rPr>
          <w:lang w:val="en-GB"/>
        </w:rPr>
      </w:pPr>
      <w:r>
        <w:rPr>
          <w:rFonts w:hint="eastAsia"/>
          <w:lang w:eastAsia="zh-CN"/>
        </w:rPr>
        <w:t>In this contribution, we put forward our further considerations on this issue.</w:t>
      </w:r>
    </w:p>
    <w:p>
      <w:pPr>
        <w:pStyle w:val="2"/>
        <w:rPr>
          <w:lang w:val="en-US" w:eastAsia="zh-CN"/>
        </w:rPr>
      </w:pPr>
      <w:r>
        <w:rPr>
          <w:rFonts w:hint="eastAsia"/>
          <w:lang w:val="en-US" w:eastAsia="zh-CN"/>
        </w:rPr>
        <w:t>Further enhancement for EN-DC with LTE-TDD-PCell</w:t>
      </w:r>
    </w:p>
    <w:p>
      <w:pPr>
        <w:rPr>
          <w:lang w:eastAsia="zh-CN"/>
        </w:rPr>
      </w:pPr>
      <w:r>
        <w:rPr>
          <w:rFonts w:hint="eastAsia"/>
          <w:lang w:eastAsia="zh-CN"/>
        </w:rPr>
        <w:t>In Rel-15, single</w:t>
      </w:r>
      <w:r>
        <w:rPr>
          <w:lang w:eastAsia="zh-CN"/>
        </w:rPr>
        <w:t xml:space="preserve"> uplink operation (</w:t>
      </w:r>
      <w:r>
        <w:rPr>
          <w:rFonts w:hint="eastAsia"/>
          <w:lang w:eastAsia="zh-CN"/>
        </w:rPr>
        <w:t>SUO</w:t>
      </w:r>
      <w:r>
        <w:rPr>
          <w:lang w:eastAsia="zh-CN"/>
        </w:rPr>
        <w:t>)</w:t>
      </w:r>
      <w:r>
        <w:rPr>
          <w:rFonts w:hint="eastAsia"/>
          <w:lang w:eastAsia="zh-CN"/>
        </w:rPr>
        <w:t xml:space="preserve"> with LTE-TDD-PCell are agreed to leave as an implementation issue </w:t>
      </w:r>
      <w:r>
        <w:rPr>
          <w:rFonts w:hint="eastAsia"/>
          <w:lang w:eastAsia="zh-CN"/>
        </w:rPr>
        <w:fldChar w:fldCharType="begin"/>
      </w:r>
      <w:r>
        <w:rPr>
          <w:rFonts w:hint="eastAsia"/>
          <w:lang w:eastAsia="zh-CN"/>
        </w:rPr>
        <w:instrText xml:space="preserve"> REF _Ref19973 \n \h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While, as pointed by some companies, the existing me</w:t>
      </w:r>
      <w:r>
        <w:rPr>
          <w:lang w:eastAsia="zh-CN"/>
        </w:rPr>
        <w:t>chan</w:t>
      </w:r>
      <w:r>
        <w:rPr>
          <w:rFonts w:hint="eastAsia"/>
          <w:lang w:eastAsia="zh-CN"/>
        </w:rPr>
        <w:t>ism may decrease DL performance of SUO UEs with LTE-TDD-PCell. However, DL performance loss exists only for UEs not supporting eIMTA. For UEs supporting eIMTA, they can naturally support single Tx switched uplink with no DL performance loss for EN-DC with LTE-TDD-PCell.</w:t>
      </w:r>
    </w:p>
    <w:p>
      <w:pPr>
        <w:pStyle w:val="140"/>
        <w:numPr>
          <w:ilvl w:val="0"/>
          <w:numId w:val="0"/>
        </w:numPr>
        <w:ind w:leftChars="0"/>
        <w:rPr>
          <w:rFonts w:hint="eastAsia"/>
          <w:lang w:eastAsia="zh-CN"/>
        </w:rPr>
      </w:pPr>
      <w:r>
        <w:rPr>
          <w:rFonts w:hint="eastAsia"/>
          <w:b/>
          <w:bCs/>
          <w:lang w:val="en-US" w:eastAsia="zh-CN"/>
        </w:rPr>
        <w:t>Observation 1:</w:t>
      </w:r>
      <w:r>
        <w:rPr>
          <w:rFonts w:hint="eastAsia"/>
          <w:lang w:val="en-US" w:eastAsia="zh-CN"/>
        </w:rPr>
        <w:t xml:space="preserve"> </w:t>
      </w:r>
      <w:r>
        <w:rPr>
          <w:rFonts w:hint="eastAsia"/>
          <w:lang w:eastAsia="zh-CN"/>
        </w:rPr>
        <w:t>UEs supporting eIMTA can naturally support single Tx switched uplink with no DL performance loss for EN-DC with LTE-TDD-PCell.</w:t>
      </w:r>
    </w:p>
    <w:p>
      <w:pPr>
        <w:numPr>
          <w:ilvl w:val="0"/>
          <w:numId w:val="0"/>
        </w:numPr>
        <w:ind w:leftChars="0"/>
        <w:rPr>
          <w:rFonts w:hint="eastAsia"/>
          <w:lang w:eastAsia="zh-CN"/>
        </w:rPr>
      </w:pPr>
      <w:r>
        <w:rPr>
          <w:lang w:eastAsia="zh-CN"/>
        </w:rPr>
        <w:t xml:space="preserve">Some </w:t>
      </w:r>
      <w:r>
        <w:rPr>
          <w:rFonts w:hint="eastAsia"/>
          <w:lang w:eastAsia="zh-CN"/>
        </w:rPr>
        <w:t>UE vend</w:t>
      </w:r>
      <w:r>
        <w:rPr>
          <w:lang w:eastAsia="zh-CN"/>
        </w:rPr>
        <w:t>o</w:t>
      </w:r>
      <w:r>
        <w:rPr>
          <w:rFonts w:hint="eastAsia"/>
          <w:lang w:eastAsia="zh-CN"/>
        </w:rPr>
        <w:t>rs argued that few UEs in the market support eIMTA</w:t>
      </w:r>
      <w:r>
        <w:rPr>
          <w:lang w:eastAsia="zh-CN"/>
        </w:rPr>
        <w:t xml:space="preserve"> and</w:t>
      </w:r>
      <w:r>
        <w:rPr>
          <w:rFonts w:hint="eastAsia"/>
          <w:lang w:eastAsia="zh-CN"/>
        </w:rPr>
        <w:t xml:space="preserve"> implement</w:t>
      </w:r>
      <w:r>
        <w:rPr>
          <w:lang w:eastAsia="zh-CN"/>
        </w:rPr>
        <w:t>ing</w:t>
      </w:r>
      <w:r>
        <w:rPr>
          <w:rFonts w:hint="eastAsia"/>
          <w:lang w:eastAsia="zh-CN"/>
        </w:rPr>
        <w:t xml:space="preserve"> all the eIMTA functions just for single Tx switched uplink for EN-DC with LTE-TDD-PCell</w:t>
      </w:r>
      <w:r>
        <w:rPr>
          <w:lang w:eastAsia="zh-CN"/>
        </w:rPr>
        <w:t xml:space="preserve"> is not worthwhile</w:t>
      </w:r>
      <w:r>
        <w:rPr>
          <w:rFonts w:hint="eastAsia"/>
          <w:lang w:eastAsia="zh-CN"/>
        </w:rPr>
        <w:t xml:space="preserve">. </w:t>
      </w:r>
      <w:r>
        <w:rPr>
          <w:rFonts w:hint="eastAsia"/>
          <w:lang w:val="en-US" w:eastAsia="zh-CN"/>
        </w:rPr>
        <w:t xml:space="preserve">According to UE radio access capabilities defined in 36.306 </w:t>
      </w:r>
      <w:r>
        <w:rPr>
          <w:rFonts w:hint="eastAsia"/>
          <w:lang w:val="en-US" w:eastAsia="zh-CN"/>
        </w:rPr>
        <w:fldChar w:fldCharType="begin"/>
      </w:r>
      <w:r>
        <w:rPr>
          <w:rFonts w:hint="eastAsia"/>
          <w:lang w:val="en-US" w:eastAsia="zh-CN"/>
        </w:rPr>
        <w:instrText xml:space="preserve"> REF _Ref8841 \n \h </w:instrText>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 xml:space="preserve">,as shown in </w:t>
      </w:r>
      <w:r>
        <w:rPr>
          <w:rFonts w:hint="eastAsia"/>
          <w:lang w:val="en-US" w:eastAsia="zh-CN"/>
        </w:rPr>
        <w:fldChar w:fldCharType="begin"/>
      </w:r>
      <w:r>
        <w:rPr>
          <w:rFonts w:hint="eastAsia"/>
          <w:lang w:val="en-US" w:eastAsia="zh-CN"/>
        </w:rPr>
        <w:instrText xml:space="preserve"> REF _Ref10010 \h </w:instrText>
      </w:r>
      <w:r>
        <w:rPr>
          <w:rFonts w:hint="eastAsia"/>
          <w:lang w:val="en-US" w:eastAsia="zh-CN"/>
        </w:rPr>
        <w:fldChar w:fldCharType="separate"/>
      </w:r>
      <w:r>
        <w:rPr>
          <w:b w:val="0"/>
          <w:bCs w:val="0"/>
        </w:rPr>
        <w:t>Table 1</w:t>
      </w:r>
      <w:r>
        <w:rPr>
          <w:rFonts w:hint="eastAsia"/>
          <w:lang w:val="en-US" w:eastAsia="zh-CN"/>
        </w:rPr>
        <w:fldChar w:fldCharType="end"/>
      </w:r>
      <w:r>
        <w:rPr>
          <w:rFonts w:hint="eastAsia"/>
          <w:lang w:val="en-US" w:eastAsia="zh-CN"/>
        </w:rPr>
        <w:t>, the UE capabilities related to eIMTA are divided into four parts and all of the four parts are optional.</w:t>
      </w:r>
      <w:r>
        <w:rPr>
          <w:rFonts w:hint="eastAsia"/>
          <w:lang w:eastAsia="zh-CN"/>
        </w:rPr>
        <w:t xml:space="preserve"> </w:t>
      </w:r>
      <w:r>
        <w:rPr>
          <w:lang w:eastAsia="zh-CN"/>
        </w:rPr>
        <w:t xml:space="preserve">As we can see, there is no need to implement all the functions of eIMTA to realize SUO for EN-DC with LTE-TDD-PCell. </w:t>
      </w:r>
      <w:r>
        <w:rPr>
          <w:rFonts w:hint="eastAsia"/>
          <w:lang w:eastAsia="zh-CN"/>
        </w:rPr>
        <w:t xml:space="preserve">Implementing </w:t>
      </w:r>
      <w:r>
        <w:rPr>
          <w:rFonts w:hint="eastAsia"/>
          <w:lang w:val="en-US" w:eastAsia="zh-CN"/>
        </w:rPr>
        <w:t xml:space="preserve">the functions related to UE capability </w:t>
      </w:r>
      <w:r>
        <w:rPr>
          <w:rFonts w:eastAsia="宋体"/>
          <w:i/>
          <w:lang w:eastAsia="zh-CN"/>
        </w:rPr>
        <w:t>phy-TDD-ReConfig-TDD</w:t>
      </w:r>
      <w:r>
        <w:rPr>
          <w:i/>
          <w:lang w:eastAsia="zh-CN"/>
        </w:rPr>
        <w:t>-</w:t>
      </w:r>
      <w:r>
        <w:rPr>
          <w:rFonts w:eastAsia="宋体"/>
          <w:i/>
          <w:lang w:eastAsia="zh-CN"/>
        </w:rPr>
        <w:t>PCell-r12</w:t>
      </w:r>
      <w:r>
        <w:rPr>
          <w:rFonts w:hint="eastAsia"/>
          <w:i/>
          <w:lang w:val="en-US" w:eastAsia="zh-CN"/>
        </w:rPr>
        <w:t xml:space="preserve"> </w:t>
      </w:r>
      <w:r>
        <w:rPr>
          <w:rFonts w:hint="eastAsia"/>
          <w:lang w:eastAsia="zh-CN"/>
        </w:rPr>
        <w:t>should suffice for UEs to support single Tx switched uplink for EN-DC with LTE-TDD-PCell.</w:t>
      </w:r>
    </w:p>
    <w:p>
      <w:pPr>
        <w:pStyle w:val="140"/>
        <w:numPr>
          <w:ilvl w:val="0"/>
          <w:numId w:val="0"/>
        </w:numPr>
        <w:ind w:leftChars="0"/>
        <w:rPr>
          <w:lang w:eastAsia="zh-CN"/>
        </w:rPr>
      </w:pPr>
      <w:r>
        <w:rPr>
          <w:rFonts w:hint="eastAsia"/>
          <w:b/>
          <w:bCs/>
          <w:lang w:val="en-US" w:eastAsia="zh-CN"/>
        </w:rPr>
        <w:t xml:space="preserve">Observation 2: </w:t>
      </w:r>
      <w:r>
        <w:rPr>
          <w:rFonts w:hint="eastAsia"/>
          <w:lang w:eastAsia="zh-CN"/>
        </w:rPr>
        <w:t xml:space="preserve">Implementing Rel-12 </w:t>
      </w:r>
      <w:r>
        <w:rPr>
          <w:rFonts w:hint="eastAsia"/>
          <w:lang w:val="en-US" w:eastAsia="zh-CN"/>
        </w:rPr>
        <w:t xml:space="preserve">UE capability of </w:t>
      </w:r>
      <w:r>
        <w:rPr>
          <w:rFonts w:hint="eastAsia"/>
          <w:lang w:eastAsia="zh-CN"/>
        </w:rPr>
        <w:t>phy-TDD-ReConfig-TDD-PCell-r12 should suffice for UEs to support single Tx switched uplink for EN-DC with LTE-TDD-PCell.</w:t>
      </w:r>
    </w:p>
    <w:p>
      <w:pPr>
        <w:rPr>
          <w:rFonts w:hint="eastAsia"/>
          <w:lang w:eastAsia="zh-CN"/>
        </w:rPr>
      </w:pPr>
    </w:p>
    <w:p>
      <w:pPr>
        <w:pStyle w:val="30"/>
        <w:keepNext/>
        <w:keepLines w:val="0"/>
        <w:pageBreakBefore w:val="0"/>
        <w:widowControl/>
        <w:kinsoku/>
        <w:wordWrap/>
        <w:overflowPunct w:val="0"/>
        <w:topLinePunct w:val="0"/>
        <w:autoSpaceDE w:val="0"/>
        <w:autoSpaceDN w:val="0"/>
        <w:bidi w:val="0"/>
        <w:adjustRightInd w:val="0"/>
        <w:snapToGrid/>
        <w:jc w:val="center"/>
        <w:textAlignment w:val="baseline"/>
        <w:outlineLvl w:val="9"/>
        <w:rPr>
          <w:rFonts w:hint="default" w:eastAsia="宋体"/>
          <w:b w:val="0"/>
          <w:bCs w:val="0"/>
          <w:lang w:val="en-US" w:eastAsia="zh-CN"/>
        </w:rPr>
      </w:pPr>
      <w:bookmarkStart w:id="3" w:name="_Ref10010"/>
      <w:bookmarkStart w:id="4" w:name="_Toc535258966"/>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bookmarkEnd w:id="3"/>
      <w:r>
        <w:rPr>
          <w:rFonts w:hint="eastAsia"/>
          <w:b w:val="0"/>
          <w:bCs w:val="0"/>
          <w:lang w:val="en-US" w:eastAsia="zh-CN"/>
        </w:rPr>
        <w:t>. UE radio capabilities for eIMTA defined in 36.306.</w:t>
      </w:r>
    </w:p>
    <w:tbl>
      <w:tblPr>
        <w:tblStyle w:val="5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pStyle w:val="5"/>
              <w:numPr>
                <w:ilvl w:val="3"/>
                <w:numId w:val="0"/>
              </w:numPr>
              <w:spacing w:line="280" w:lineRule="atLeast"/>
              <w:ind w:leftChars="0"/>
              <w:jc w:val="both"/>
              <w:rPr>
                <w:rFonts w:eastAsia="宋体"/>
                <w:lang w:eastAsia="zh-CN"/>
              </w:rPr>
            </w:pPr>
            <w:r>
              <w:t>4.3.4.</w:t>
            </w:r>
            <w:r>
              <w:rPr>
                <w:rFonts w:eastAsia="宋体"/>
                <w:lang w:eastAsia="zh-CN"/>
              </w:rPr>
              <w:t>29</w:t>
            </w:r>
            <w:r>
              <w:tab/>
            </w:r>
            <w:r>
              <w:rPr>
                <w:i/>
              </w:rPr>
              <w:t>csi-SubframeSet-r12</w:t>
            </w:r>
            <w:bookmarkEnd w:id="4"/>
          </w:p>
          <w:p>
            <w:pPr>
              <w:spacing w:before="120" w:line="280" w:lineRule="atLeast"/>
            </w:pPr>
            <w:r>
              <w:t>This field defines whether the UE supports Rel-12 DL CSI subframe set configuration, Rel-12 DL CSI subframe set dependent CSI measurement/feedback, configuration of up to 2 CSI-IM resource</w:t>
            </w:r>
            <w:r>
              <w:rPr>
                <w:lang w:eastAsia="zh-CN"/>
              </w:rPr>
              <w:t>s</w:t>
            </w:r>
            <w:r>
              <w:t xml:space="preserve"> for a CSI process</w:t>
            </w:r>
            <w:r>
              <w:rPr>
                <w:lang w:eastAsia="zh-CN"/>
              </w:rPr>
              <w:t xml:space="preserve"> with</w:t>
            </w:r>
            <w:r>
              <w:t xml:space="preserve"> no more than 4 CSI-IM resource</w:t>
            </w:r>
            <w:r>
              <w:rPr>
                <w:lang w:eastAsia="zh-CN"/>
              </w:rPr>
              <w:t>s</w:t>
            </w:r>
            <w:r>
              <w:t xml:space="preserve"> for all CSI processes of one frequency if the UE supports tm10, configuration of two ZP-CSI-RS for tm1-tm9, PDSCH RE mapping with two ZP-CSI-RS configurations, and EPDCCH RE mapping with two ZP-CSI-RS configurations if the UE supports EPDCCH. This field is only applicable for UEs supporting TDD.</w:t>
            </w:r>
          </w:p>
          <w:p>
            <w:pPr>
              <w:pStyle w:val="5"/>
              <w:spacing w:line="280" w:lineRule="atLeast"/>
              <w:jc w:val="both"/>
              <w:rPr>
                <w:rFonts w:eastAsia="宋体"/>
                <w:lang w:eastAsia="zh-CN"/>
              </w:rPr>
            </w:pPr>
            <w:bookmarkStart w:id="5" w:name="_Toc535258967"/>
            <w:r>
              <w:t>4.3.4.</w:t>
            </w:r>
            <w:r>
              <w:rPr>
                <w:rFonts w:eastAsia="宋体"/>
                <w:lang w:eastAsia="zh-CN"/>
              </w:rPr>
              <w:t>30</w:t>
            </w:r>
            <w:r>
              <w:tab/>
            </w:r>
            <w:r>
              <w:rPr>
                <w:rFonts w:eastAsia="宋体"/>
                <w:i/>
                <w:lang w:eastAsia="zh-CN"/>
              </w:rPr>
              <w:t>phy-TDD-ReConfig-FDD</w:t>
            </w:r>
            <w:r>
              <w:rPr>
                <w:i/>
                <w:lang w:eastAsia="zh-CN"/>
              </w:rPr>
              <w:t>-</w:t>
            </w:r>
            <w:r>
              <w:rPr>
                <w:rFonts w:eastAsia="宋体"/>
                <w:i/>
                <w:lang w:eastAsia="zh-CN"/>
              </w:rPr>
              <w:t>PCell-r12</w:t>
            </w:r>
            <w:bookmarkEnd w:id="5"/>
          </w:p>
          <w:p>
            <w:pPr>
              <w:spacing w:before="120" w:line="280" w:lineRule="atLeast"/>
            </w:pPr>
            <w:r>
              <w:t>This field defines whether the UE supports TDD UL/DL reconfiguration for TDD serving cell(s) via monitoring PDCCH with eIMTA-RNTI on a FDD PCell, and HARQ feedback according to UL and DL HARQ reference configurations.</w:t>
            </w:r>
          </w:p>
          <w:p>
            <w:pPr>
              <w:pStyle w:val="5"/>
              <w:spacing w:line="280" w:lineRule="atLeast"/>
              <w:jc w:val="both"/>
              <w:rPr>
                <w:rFonts w:eastAsia="宋体"/>
                <w:lang w:eastAsia="zh-CN"/>
              </w:rPr>
            </w:pPr>
            <w:bookmarkStart w:id="6" w:name="_Toc535258968"/>
            <w:r>
              <w:t>4.3.4.</w:t>
            </w:r>
            <w:r>
              <w:rPr>
                <w:rFonts w:eastAsia="宋体"/>
                <w:lang w:eastAsia="zh-CN"/>
              </w:rPr>
              <w:t>31</w:t>
            </w:r>
            <w:r>
              <w:tab/>
            </w:r>
            <w:r>
              <w:rPr>
                <w:rFonts w:eastAsia="宋体"/>
                <w:i/>
                <w:lang w:eastAsia="zh-CN"/>
              </w:rPr>
              <w:t>phy-TDD-ReConfig-TDD</w:t>
            </w:r>
            <w:r>
              <w:rPr>
                <w:i/>
                <w:lang w:eastAsia="zh-CN"/>
              </w:rPr>
              <w:t>-</w:t>
            </w:r>
            <w:r>
              <w:rPr>
                <w:rFonts w:eastAsia="宋体"/>
                <w:i/>
                <w:lang w:eastAsia="zh-CN"/>
              </w:rPr>
              <w:t>PCell-r12</w:t>
            </w:r>
            <w:bookmarkEnd w:id="6"/>
          </w:p>
          <w:p>
            <w:pPr>
              <w:spacing w:before="120" w:line="280" w:lineRule="atLeast"/>
            </w:pPr>
            <w:r>
              <w:t>This field defines whether the UE supports TDD UL/DL reconfiguration for TDD serving cell(s) via monitoring PDCCH with eIMTA-RNTI on a TDD PCell, and HARQ feedback according to UL and DL HARQ reference configurations.</w:t>
            </w:r>
          </w:p>
          <w:p>
            <w:pPr>
              <w:pStyle w:val="5"/>
              <w:spacing w:line="280" w:lineRule="atLeast"/>
              <w:jc w:val="both"/>
              <w:rPr>
                <w:rFonts w:eastAsia="宋体"/>
                <w:lang w:eastAsia="zh-CN"/>
              </w:rPr>
            </w:pPr>
            <w:bookmarkStart w:id="7" w:name="_Toc535258969"/>
            <w:r>
              <w:t>4.3.4.</w:t>
            </w:r>
            <w:r>
              <w:rPr>
                <w:rFonts w:eastAsia="宋体"/>
                <w:lang w:eastAsia="zh-CN"/>
              </w:rPr>
              <w:t>32</w:t>
            </w:r>
            <w:r>
              <w:tab/>
            </w:r>
            <w:r>
              <w:rPr>
                <w:rFonts w:eastAsia="宋体"/>
                <w:i/>
                <w:lang w:eastAsia="zh-CN"/>
              </w:rPr>
              <w:t>pusch-SRS-PowerControl-SubframeSet-r12</w:t>
            </w:r>
            <w:bookmarkEnd w:id="7"/>
          </w:p>
          <w:p>
            <w:pPr>
              <w:spacing w:before="120" w:line="280" w:lineRule="atLeast"/>
              <w:rPr>
                <w:rFonts w:hint="eastAsia"/>
                <w:vertAlign w:val="baseline"/>
                <w:lang w:eastAsia="zh-CN"/>
              </w:rPr>
            </w:pPr>
            <w:r>
              <w:t>This field defines whether the UE supports subframe set dependent UL power control for PUSCH and SRS. This field is only applicable for UEs supporting TDD.</w:t>
            </w:r>
          </w:p>
        </w:tc>
      </w:tr>
    </w:tbl>
    <w:p>
      <w:pPr>
        <w:rPr>
          <w:lang w:eastAsia="zh-CN"/>
        </w:rPr>
      </w:pPr>
    </w:p>
    <w:p>
      <w:pPr>
        <w:rPr>
          <w:lang w:eastAsia="zh-CN"/>
        </w:rPr>
      </w:pPr>
      <w:r>
        <w:rPr>
          <w:rFonts w:hint="eastAsia"/>
          <w:lang w:eastAsia="zh-CN"/>
        </w:rPr>
        <w:t>In Rel-12, the eIMTA mechanism contains two parts, i.e., semi-static configuration and L1 signaling. Semi-static configuration configures a semi-static TDD DL/UL configuration</w:t>
      </w:r>
      <w:r>
        <w:rPr>
          <w:lang w:eastAsia="zh-CN"/>
        </w:rPr>
        <w:t xml:space="preserve"> for reference HARQ configuration</w:t>
      </w:r>
      <w:r>
        <w:rPr>
          <w:rFonts w:hint="eastAsia"/>
          <w:lang w:eastAsia="zh-CN"/>
        </w:rPr>
        <w:t xml:space="preserve"> and L1 signaling dynamically updates the DL/UL configuration for flexible subframes. Compared with semi-static TDM between LTE and NR, eIMTA L1 signaling can imp</w:t>
      </w:r>
      <w:r>
        <w:rPr>
          <w:lang w:eastAsia="zh-CN"/>
        </w:rPr>
        <w:t>r</w:t>
      </w:r>
      <w:r>
        <w:rPr>
          <w:rFonts w:hint="eastAsia"/>
          <w:lang w:eastAsia="zh-CN"/>
        </w:rPr>
        <w:t>ove scheduling flexibility and performance for SUO UEs for EN-DC with LTE-TDD-PCell.</w:t>
      </w:r>
      <w:r>
        <w:rPr>
          <w:lang w:eastAsia="zh-CN"/>
        </w:rPr>
        <w:t xml:space="preserve"> e.g. the flexible subframes can be also used for LTE DL.  </w:t>
      </w:r>
    </w:p>
    <w:p>
      <w:pPr>
        <w:pStyle w:val="140"/>
        <w:numPr>
          <w:ilvl w:val="0"/>
          <w:numId w:val="0"/>
        </w:numPr>
        <w:ind w:leftChars="0"/>
        <w:rPr>
          <w:rFonts w:hint="eastAsia"/>
          <w:lang w:eastAsia="zh-CN"/>
        </w:rPr>
      </w:pPr>
      <w:r>
        <w:rPr>
          <w:rFonts w:hint="eastAsia"/>
          <w:b/>
          <w:bCs/>
          <w:lang w:val="en-US" w:eastAsia="zh-CN"/>
        </w:rPr>
        <w:t xml:space="preserve">Observation 3: </w:t>
      </w:r>
      <w:r>
        <w:rPr>
          <w:rFonts w:hint="eastAsia"/>
          <w:lang w:eastAsia="zh-CN"/>
        </w:rPr>
        <w:t>Compared with semi-static TDM between LTE and NR, eIMTA L1 signaling can imp</w:t>
      </w:r>
      <w:r>
        <w:rPr>
          <w:lang w:eastAsia="zh-CN"/>
        </w:rPr>
        <w:t>r</w:t>
      </w:r>
      <w:r>
        <w:rPr>
          <w:rFonts w:hint="eastAsia"/>
          <w:lang w:eastAsia="zh-CN"/>
        </w:rPr>
        <w:t>ove scheduling flexibility and performance for SUO UEs for EN-DC with LTE-TDD-PCell.</w:t>
      </w:r>
    </w:p>
    <w:p>
      <w:pPr>
        <w:rPr>
          <w:rFonts w:hint="eastAsia"/>
          <w:lang w:val="en-US" w:eastAsia="zh-CN"/>
        </w:rPr>
      </w:pPr>
      <w:r>
        <w:rPr>
          <w:rFonts w:hint="eastAsia"/>
          <w:lang w:val="en-US" w:eastAsia="zh-CN"/>
        </w:rPr>
        <w:t xml:space="preserve">According to the current UE feature list, UE features of eIMTA semi-static and L1 signaling are grouped together, i.e., </w:t>
      </w:r>
      <w:r>
        <w:rPr>
          <w:rFonts w:eastAsia="宋体"/>
          <w:i/>
          <w:lang w:eastAsia="zh-CN"/>
        </w:rPr>
        <w:t>phy-TDD-ReConfig-TDD</w:t>
      </w:r>
      <w:r>
        <w:rPr>
          <w:i/>
          <w:lang w:eastAsia="zh-CN"/>
        </w:rPr>
        <w:t>-</w:t>
      </w:r>
      <w:r>
        <w:rPr>
          <w:rFonts w:eastAsia="宋体"/>
          <w:i/>
          <w:lang w:eastAsia="zh-CN"/>
        </w:rPr>
        <w:t>PCell-r12</w:t>
      </w:r>
      <w:r>
        <w:rPr>
          <w:rFonts w:hint="eastAsia"/>
          <w:i/>
          <w:lang w:val="en-US" w:eastAsia="zh-CN"/>
        </w:rPr>
        <w:t xml:space="preserve"> </w:t>
      </w:r>
      <w:r>
        <w:rPr>
          <w:rFonts w:hint="eastAsia"/>
          <w:i w:val="0"/>
          <w:iCs/>
          <w:lang w:val="en-US" w:eastAsia="zh-CN"/>
        </w:rPr>
        <w:t>and</w:t>
      </w:r>
      <w:r>
        <w:rPr>
          <w:rFonts w:hint="eastAsia"/>
          <w:i/>
          <w:lang w:val="en-US" w:eastAsia="zh-CN"/>
        </w:rPr>
        <w:t xml:space="preserve"> </w:t>
      </w:r>
      <w:r>
        <w:rPr>
          <w:rFonts w:hint="eastAsia"/>
          <w:i/>
          <w:lang w:eastAsia="zh-CN"/>
        </w:rPr>
        <w:t>phy-TDD-ReConfig-FDD-PCell-r12</w:t>
      </w:r>
      <w:r>
        <w:rPr>
          <w:rFonts w:hint="eastAsia"/>
          <w:lang w:val="en-US" w:eastAsia="zh-CN"/>
        </w:rPr>
        <w:t>. One possibility to enhance single Tx switched uplink for EN-DC with LTE-TDD-PCell is to separate UE features of eIMTA semi-static configuration and L1 signaling. In this way, UEs only need to support eIMTA semi-static configurations to implement single Tx switched uplink for EN-DC with LTE-TDD-PCell. As this UE capability is optional since Rel-12, it is reasonable to keep the separated UE capabilities of eIMTA semi-static and UE L1 signaling optional for Rel-16.</w:t>
      </w:r>
    </w:p>
    <w:p>
      <w:pPr>
        <w:rPr>
          <w:rFonts w:hint="default"/>
          <w:lang w:val="en-US" w:eastAsia="zh-CN"/>
        </w:rPr>
      </w:pPr>
      <w:r>
        <w:rPr>
          <w:rFonts w:hint="eastAsia"/>
          <w:b/>
          <w:bCs/>
          <w:i/>
          <w:iCs/>
          <w:lang w:val="en-US" w:eastAsia="zh-CN"/>
        </w:rPr>
        <w:t>Proposal 1:</w:t>
      </w:r>
      <w:r>
        <w:rPr>
          <w:rFonts w:hint="eastAsia"/>
          <w:lang w:val="en-US" w:eastAsia="zh-CN"/>
        </w:rPr>
        <w:t xml:space="preserve"> </w:t>
      </w:r>
      <w:r>
        <w:rPr>
          <w:rFonts w:hint="eastAsia"/>
          <w:i/>
          <w:iCs/>
          <w:lang w:val="en-US" w:eastAsia="zh-CN"/>
        </w:rPr>
        <w:t>Separate UE capability of eIMTA semi-static configuration and L1 signaling to support single Tx switched uplink for EN-DC with LTE-TDD-PCell and keep them optional in Rel-16.</w:t>
      </w:r>
    </w:p>
    <w:p>
      <w:pPr>
        <w:rPr>
          <w:rFonts w:hint="eastAsia"/>
          <w:lang w:val="en-US" w:eastAsia="zh-CN"/>
        </w:rPr>
      </w:pPr>
      <w:r>
        <w:rPr>
          <w:rFonts w:hint="eastAsia"/>
          <w:lang w:val="en-US" w:eastAsia="zh-CN"/>
        </w:rPr>
        <w:t>To reduce the standardization workload, it</w:t>
      </w:r>
      <w:r>
        <w:rPr>
          <w:rFonts w:hint="default"/>
          <w:lang w:val="en-US" w:eastAsia="zh-CN"/>
        </w:rPr>
        <w:t>’</w:t>
      </w:r>
      <w:r>
        <w:rPr>
          <w:rFonts w:hint="eastAsia"/>
          <w:lang w:val="en-US" w:eastAsia="zh-CN"/>
        </w:rPr>
        <w:t>s preferable to reuse existing eIMTA signaling as much as possible to reduce the standardization workload.</w:t>
      </w:r>
    </w:p>
    <w:p>
      <w:pPr>
        <w:numPr>
          <w:ilvl w:val="0"/>
          <w:numId w:val="0"/>
        </w:numPr>
        <w:ind w:leftChars="0"/>
        <w:rPr>
          <w:rFonts w:hint="eastAsia"/>
          <w:lang w:eastAsia="zh-CN"/>
        </w:rPr>
      </w:pPr>
      <w:r>
        <w:rPr>
          <w:rFonts w:hint="eastAsia"/>
          <w:b/>
          <w:bCs/>
          <w:i/>
          <w:iCs/>
          <w:lang w:val="en-US" w:eastAsia="zh-CN"/>
        </w:rPr>
        <w:t>Proposal 2:</w:t>
      </w:r>
      <w:r>
        <w:rPr>
          <w:rFonts w:hint="eastAsia"/>
          <w:lang w:val="en-US" w:eastAsia="zh-CN"/>
        </w:rPr>
        <w:t xml:space="preserve"> </w:t>
      </w:r>
      <w:r>
        <w:rPr>
          <w:rFonts w:hint="eastAsia"/>
          <w:i/>
          <w:iCs/>
          <w:lang w:val="en-US" w:eastAsia="zh-CN"/>
        </w:rPr>
        <w:t>Reuse the existing eIMTA signaling as much as possible to reduce the standardization workload.</w:t>
      </w:r>
    </w:p>
    <w:p>
      <w:pPr>
        <w:pStyle w:val="2"/>
        <w:rPr>
          <w:lang w:val="en-US" w:eastAsia="zh-CN"/>
        </w:rPr>
      </w:pPr>
      <w:r>
        <w:rPr>
          <w:rFonts w:hint="eastAsia"/>
          <w:lang w:val="en-US" w:eastAsia="zh-CN"/>
        </w:rPr>
        <w:t>Allowing all UL subframes for LTE data transmission</w:t>
      </w:r>
    </w:p>
    <w:p>
      <w:pPr>
        <w:rPr>
          <w:rFonts w:hint="eastAsia"/>
          <w:lang w:eastAsia="zh-CN"/>
        </w:rPr>
      </w:pPr>
      <w:r>
        <w:rPr>
          <w:rFonts w:hint="eastAsia"/>
          <w:lang w:eastAsia="zh-CN"/>
        </w:rPr>
        <w:t xml:space="preserve">During last meeting, some contributions proposed to allow all UL subframes for LTE data transmission </w:t>
      </w:r>
      <w:r>
        <w:rPr>
          <w:rFonts w:hint="eastAsia"/>
          <w:lang w:eastAsia="zh-CN"/>
        </w:rPr>
        <w:fldChar w:fldCharType="begin"/>
      </w:r>
      <w:r>
        <w:rPr>
          <w:rFonts w:hint="eastAsia"/>
          <w:lang w:eastAsia="zh-CN"/>
        </w:rPr>
        <w:instrText xml:space="preserve"> REF _Ref529 \n \h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fldChar w:fldCharType="begin"/>
      </w:r>
      <w:r>
        <w:rPr>
          <w:rFonts w:hint="eastAsia"/>
          <w:lang w:eastAsia="zh-CN"/>
        </w:rPr>
        <w:instrText xml:space="preserve"> REF _Ref535 \n \h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However, allowing all UL subframes for LTE transmission requires tight coordination between LTE and NR. Tight coordination between LTE and NR is not expected in most cases.</w:t>
      </w:r>
      <w:r>
        <w:rPr>
          <w:lang w:eastAsia="zh-CN"/>
        </w:rPr>
        <w:t xml:space="preserve"> Rel-15 discussion was based on the agreed assumption that</w:t>
      </w:r>
      <w:r>
        <w:t xml:space="preserve"> </w:t>
      </w:r>
      <w:r>
        <w:rPr>
          <w:lang w:eastAsia="zh-CN"/>
        </w:rPr>
        <w:t xml:space="preserve">UL transmission timing pattern of LTE carrier and NR carrier is semi-statically shared between eNodeB and gNodeB. This implies that it does not require tight coordination between LTE and NR. </w:t>
      </w:r>
      <w:r>
        <w:rPr>
          <w:rFonts w:hint="eastAsia"/>
          <w:lang w:eastAsia="zh-CN"/>
        </w:rPr>
        <w:t xml:space="preserve">Without tight coordination between LTE and NR, allowing all UL subframes for LTE transmission </w:t>
      </w:r>
      <w:r>
        <w:rPr>
          <w:rFonts w:hint="eastAsia"/>
          <w:lang w:val="en-US" w:eastAsia="zh-CN"/>
        </w:rPr>
        <w:t xml:space="preserve">can likely </w:t>
      </w:r>
      <w:r>
        <w:rPr>
          <w:rFonts w:hint="eastAsia"/>
          <w:lang w:eastAsia="zh-CN"/>
        </w:rPr>
        <w:t>result in performance loss due to the uplink collision between LTE and NR. In this sense, we don</w:t>
      </w:r>
      <w:r>
        <w:rPr>
          <w:lang w:eastAsia="zh-CN"/>
        </w:rPr>
        <w:t>’</w:t>
      </w:r>
      <w:r>
        <w:rPr>
          <w:rFonts w:hint="eastAsia"/>
          <w:lang w:eastAsia="zh-CN"/>
        </w:rPr>
        <w:t>t see any strong motivation to allow all UL subframes for LTE data transmission.</w:t>
      </w:r>
    </w:p>
    <w:p>
      <w:pPr>
        <w:pStyle w:val="140"/>
        <w:numPr>
          <w:ilvl w:val="0"/>
          <w:numId w:val="0"/>
        </w:numPr>
        <w:ind w:leftChars="0"/>
        <w:rPr>
          <w:lang w:eastAsia="zh-CN"/>
        </w:rPr>
      </w:pPr>
      <w:r>
        <w:rPr>
          <w:rFonts w:hint="eastAsia"/>
          <w:b/>
          <w:bCs/>
          <w:lang w:val="en-US" w:eastAsia="zh-CN"/>
        </w:rPr>
        <w:t xml:space="preserve">Observation 4: </w:t>
      </w:r>
      <w:r>
        <w:rPr>
          <w:rFonts w:hint="eastAsia"/>
          <w:lang w:eastAsia="zh-CN"/>
        </w:rPr>
        <w:t>A</w:t>
      </w:r>
      <w:r>
        <w:rPr>
          <w:lang w:eastAsia="zh-CN"/>
        </w:rPr>
        <w:t>llowing all UL subframes for LTE transmission requires tight coordination between LTE and NR</w:t>
      </w:r>
      <w:r>
        <w:rPr>
          <w:rFonts w:hint="eastAsia"/>
          <w:lang w:eastAsia="zh-CN"/>
        </w:rPr>
        <w:t xml:space="preserve">. Without tight coordination, it </w:t>
      </w:r>
      <w:r>
        <w:rPr>
          <w:rFonts w:hint="eastAsia"/>
          <w:lang w:val="en-US" w:eastAsia="zh-CN"/>
        </w:rPr>
        <w:t>can likely r</w:t>
      </w:r>
      <w:r>
        <w:rPr>
          <w:rFonts w:hint="eastAsia"/>
          <w:lang w:eastAsia="zh-CN"/>
        </w:rPr>
        <w:t>esult in performance loss due to the uplink collision between LTE and NR.</w:t>
      </w:r>
    </w:p>
    <w:p>
      <w:pPr>
        <w:rPr>
          <w:lang w:eastAsia="zh-CN"/>
        </w:rPr>
      </w:pPr>
      <w:r>
        <w:rPr>
          <w:rFonts w:hint="eastAsia"/>
          <w:lang w:eastAsia="zh-CN"/>
        </w:rPr>
        <w:t xml:space="preserve">For EN-DC with LTE-FDD-PCell in Rel-15, the motivation to restrict uplink data transmission within a subset of UL subframes is to guarantee </w:t>
      </w:r>
      <w:r>
        <w:rPr>
          <w:lang w:eastAsia="zh-CN"/>
        </w:rPr>
        <w:t>reasonable</w:t>
      </w:r>
      <w:r>
        <w:rPr>
          <w:rFonts w:hint="eastAsia"/>
          <w:lang w:eastAsia="zh-CN"/>
        </w:rPr>
        <w:t xml:space="preserve"> uplink performance</w:t>
      </w:r>
      <w:r>
        <w:rPr>
          <w:lang w:eastAsia="zh-CN"/>
        </w:rPr>
        <w:t xml:space="preserve"> for both LTE and NR</w:t>
      </w:r>
      <w:r>
        <w:rPr>
          <w:rFonts w:hint="eastAsia"/>
          <w:lang w:eastAsia="zh-CN"/>
        </w:rPr>
        <w:t xml:space="preserve">. From network perspective, allowing all uplink subframes for LTE data transmission is risky because it could result in great performance loss </w:t>
      </w:r>
      <w:r>
        <w:rPr>
          <w:lang w:eastAsia="zh-CN"/>
        </w:rPr>
        <w:t xml:space="preserve">on NR </w:t>
      </w:r>
      <w:r>
        <w:rPr>
          <w:rFonts w:hint="eastAsia"/>
          <w:lang w:eastAsia="zh-CN"/>
        </w:rPr>
        <w:t>due to unexpected collision. Thus, we propose not to further enhance Rel-15 SUO mechanism for EN-DC with LTE-FDD-PCell.</w:t>
      </w:r>
    </w:p>
    <w:p>
      <w:pPr>
        <w:pStyle w:val="140"/>
        <w:numPr>
          <w:ilvl w:val="0"/>
          <w:numId w:val="0"/>
        </w:numPr>
        <w:ind w:leftChars="0"/>
        <w:rPr>
          <w:lang w:eastAsia="zh-CN"/>
        </w:rPr>
      </w:pPr>
      <w:r>
        <w:rPr>
          <w:rFonts w:hint="eastAsia"/>
          <w:b/>
          <w:bCs/>
          <w:lang w:val="en-US" w:eastAsia="zh-CN"/>
        </w:rPr>
        <w:t xml:space="preserve">Observation 5: </w:t>
      </w:r>
      <w:r>
        <w:rPr>
          <w:rFonts w:hint="eastAsia"/>
          <w:lang w:eastAsia="zh-CN"/>
        </w:rPr>
        <w:t>No need to further enhance Rel-15 SUO mechanism for EN-DC with LTE-FDD-PCell.</w:t>
      </w:r>
    </w:p>
    <w:p>
      <w:pPr>
        <w:rPr>
          <w:lang w:eastAsia="zh-CN"/>
        </w:rPr>
      </w:pPr>
      <w:r>
        <w:rPr>
          <w:rFonts w:hint="eastAsia"/>
          <w:lang w:eastAsia="zh-CN"/>
        </w:rPr>
        <w:t xml:space="preserve">As for EN-DC with LTE-TDD-PCell, since it is left as implementation issue, network can configure all UL subframes for LTE data transmission. </w:t>
      </w:r>
      <w:r>
        <w:rPr>
          <w:lang w:eastAsia="zh-CN"/>
        </w:rPr>
        <w:t>I</w:t>
      </w:r>
      <w:r>
        <w:rPr>
          <w:rFonts w:hint="eastAsia"/>
          <w:lang w:eastAsia="zh-CN"/>
        </w:rPr>
        <w:t>f eIMTA mechanism is adopted to realize SUO for EN-DC with LTE-TDD-PCell, network can configure all UL subframes for LTE data transmission via appropriate configuration.</w:t>
      </w:r>
    </w:p>
    <w:p>
      <w:pPr>
        <w:pStyle w:val="140"/>
        <w:numPr>
          <w:ilvl w:val="0"/>
          <w:numId w:val="0"/>
        </w:numPr>
        <w:ind w:leftChars="0"/>
        <w:rPr>
          <w:lang w:eastAsia="zh-CN"/>
        </w:rPr>
      </w:pPr>
      <w:r>
        <w:rPr>
          <w:rFonts w:hint="eastAsia"/>
          <w:b/>
          <w:bCs/>
          <w:lang w:val="en-US" w:eastAsia="zh-CN"/>
        </w:rPr>
        <w:t xml:space="preserve">Observation 6: </w:t>
      </w:r>
      <w:r>
        <w:rPr>
          <w:rFonts w:hint="eastAsia"/>
          <w:lang w:eastAsia="zh-CN"/>
        </w:rPr>
        <w:t>Reusing eIMTA mechanism can allow all UL subframes for SUO UEs for EN-DC with LTE-TDD-PCell.</w:t>
      </w:r>
    </w:p>
    <w:p>
      <w:pPr>
        <w:pStyle w:val="2"/>
        <w:rPr>
          <w:lang w:val="en-US" w:eastAsia="zh-CN"/>
        </w:rPr>
      </w:pPr>
      <w:r>
        <w:rPr>
          <w:rFonts w:hint="eastAsia"/>
          <w:lang w:val="en-US" w:eastAsia="zh-CN"/>
        </w:rPr>
        <w:t>Conclusion</w:t>
      </w:r>
    </w:p>
    <w:p>
      <w:pPr>
        <w:rPr>
          <w:rFonts w:hint="eastAsia"/>
          <w:lang w:eastAsia="zh-CN"/>
        </w:rPr>
      </w:pPr>
      <w:r>
        <w:rPr>
          <w:rFonts w:hint="eastAsia"/>
          <w:lang w:eastAsia="zh-CN"/>
        </w:rPr>
        <w:t>In this contribution, we put forward our further considerations for single Tx switched uplink. To sum up, the following observations are made.</w:t>
      </w:r>
    </w:p>
    <w:p>
      <w:pPr>
        <w:pStyle w:val="140"/>
        <w:numPr>
          <w:ilvl w:val="0"/>
          <w:numId w:val="0"/>
        </w:numPr>
        <w:ind w:leftChars="0"/>
        <w:rPr>
          <w:rFonts w:hint="eastAsia"/>
          <w:lang w:eastAsia="zh-CN"/>
        </w:rPr>
      </w:pPr>
      <w:r>
        <w:rPr>
          <w:rFonts w:hint="eastAsia"/>
          <w:b/>
          <w:bCs/>
          <w:lang w:val="en-US" w:eastAsia="zh-CN"/>
        </w:rPr>
        <w:t>Observation 1:</w:t>
      </w:r>
      <w:r>
        <w:rPr>
          <w:rFonts w:hint="eastAsia"/>
          <w:lang w:val="en-US" w:eastAsia="zh-CN"/>
        </w:rPr>
        <w:t xml:space="preserve"> </w:t>
      </w:r>
      <w:r>
        <w:rPr>
          <w:rFonts w:hint="eastAsia"/>
          <w:lang w:eastAsia="zh-CN"/>
        </w:rPr>
        <w:t>UEs supporting eIMTA can naturally support single Tx switched uplink with no DL performance loss for EN-DC with LTE-TDD-PCell.</w:t>
      </w:r>
    </w:p>
    <w:p>
      <w:pPr>
        <w:pStyle w:val="140"/>
        <w:numPr>
          <w:ilvl w:val="0"/>
          <w:numId w:val="0"/>
        </w:numPr>
        <w:ind w:leftChars="0"/>
        <w:rPr>
          <w:lang w:eastAsia="zh-CN"/>
        </w:rPr>
      </w:pPr>
      <w:r>
        <w:rPr>
          <w:rFonts w:hint="eastAsia"/>
          <w:b/>
          <w:bCs/>
          <w:lang w:val="en-US" w:eastAsia="zh-CN"/>
        </w:rPr>
        <w:t xml:space="preserve">Observation 2: </w:t>
      </w:r>
      <w:r>
        <w:rPr>
          <w:rFonts w:hint="eastAsia"/>
          <w:lang w:eastAsia="zh-CN"/>
        </w:rPr>
        <w:t xml:space="preserve">Implementing Rel-12 </w:t>
      </w:r>
      <w:r>
        <w:rPr>
          <w:rFonts w:hint="eastAsia"/>
          <w:lang w:val="en-US" w:eastAsia="zh-CN"/>
        </w:rPr>
        <w:t xml:space="preserve">UE capability of </w:t>
      </w:r>
      <w:r>
        <w:rPr>
          <w:rFonts w:hint="eastAsia"/>
          <w:lang w:eastAsia="zh-CN"/>
        </w:rPr>
        <w:t>phy-TDD-ReConfig-TDD-PCell-r12 should suffice for UEs to support single Tx switched uplink for EN-DC with LTE-TDD-PCell.</w:t>
      </w:r>
    </w:p>
    <w:p>
      <w:pPr>
        <w:pStyle w:val="140"/>
        <w:numPr>
          <w:ilvl w:val="0"/>
          <w:numId w:val="0"/>
        </w:numPr>
        <w:ind w:leftChars="0"/>
        <w:rPr>
          <w:rFonts w:hint="eastAsia"/>
          <w:lang w:eastAsia="zh-CN"/>
        </w:rPr>
      </w:pPr>
      <w:r>
        <w:rPr>
          <w:rFonts w:hint="eastAsia"/>
          <w:b/>
          <w:bCs/>
          <w:lang w:val="en-US" w:eastAsia="zh-CN"/>
        </w:rPr>
        <w:t xml:space="preserve">Observation 3: </w:t>
      </w:r>
      <w:r>
        <w:rPr>
          <w:rFonts w:hint="eastAsia"/>
          <w:lang w:eastAsia="zh-CN"/>
        </w:rPr>
        <w:t>Compared with semi-static TDM between LTE and NR, eIMTA L1 signaling can imp</w:t>
      </w:r>
      <w:r>
        <w:rPr>
          <w:lang w:eastAsia="zh-CN"/>
        </w:rPr>
        <w:t>r</w:t>
      </w:r>
      <w:r>
        <w:rPr>
          <w:rFonts w:hint="eastAsia"/>
          <w:lang w:eastAsia="zh-CN"/>
        </w:rPr>
        <w:t>ove scheduling flexibility and performance for SUO UEs for EN-DC with LTE-TDD-PCell.</w:t>
      </w:r>
    </w:p>
    <w:p>
      <w:pPr>
        <w:pStyle w:val="140"/>
        <w:numPr>
          <w:ilvl w:val="0"/>
          <w:numId w:val="0"/>
        </w:numPr>
        <w:ind w:leftChars="0"/>
        <w:rPr>
          <w:lang w:eastAsia="zh-CN"/>
        </w:rPr>
      </w:pPr>
      <w:r>
        <w:rPr>
          <w:rFonts w:hint="eastAsia"/>
          <w:b/>
          <w:bCs/>
          <w:lang w:val="en-US" w:eastAsia="zh-CN"/>
        </w:rPr>
        <w:t xml:space="preserve">Observation 4: </w:t>
      </w:r>
      <w:r>
        <w:rPr>
          <w:rFonts w:hint="eastAsia"/>
          <w:lang w:eastAsia="zh-CN"/>
        </w:rPr>
        <w:t>A</w:t>
      </w:r>
      <w:r>
        <w:rPr>
          <w:lang w:eastAsia="zh-CN"/>
        </w:rPr>
        <w:t>llowing all UL subframes for LTE transmission requires tight coordination between LTE and NR</w:t>
      </w:r>
      <w:r>
        <w:rPr>
          <w:rFonts w:hint="eastAsia"/>
          <w:lang w:eastAsia="zh-CN"/>
        </w:rPr>
        <w:t xml:space="preserve">. Without tight coordination, it </w:t>
      </w:r>
      <w:r>
        <w:rPr>
          <w:rFonts w:hint="eastAsia"/>
          <w:lang w:val="en-US" w:eastAsia="zh-CN"/>
        </w:rPr>
        <w:t>can likely r</w:t>
      </w:r>
      <w:r>
        <w:rPr>
          <w:rFonts w:hint="eastAsia"/>
          <w:lang w:eastAsia="zh-CN"/>
        </w:rPr>
        <w:t>esult in performance loss due to the uplink collision between LTE and NR.</w:t>
      </w:r>
    </w:p>
    <w:p>
      <w:pPr>
        <w:pStyle w:val="140"/>
        <w:numPr>
          <w:ilvl w:val="0"/>
          <w:numId w:val="0"/>
        </w:numPr>
        <w:ind w:leftChars="0"/>
        <w:rPr>
          <w:lang w:eastAsia="zh-CN"/>
        </w:rPr>
      </w:pPr>
      <w:r>
        <w:rPr>
          <w:rFonts w:hint="eastAsia"/>
          <w:b/>
          <w:bCs/>
          <w:lang w:val="en-US" w:eastAsia="zh-CN"/>
        </w:rPr>
        <w:t xml:space="preserve">Observation 5: </w:t>
      </w:r>
      <w:r>
        <w:rPr>
          <w:rFonts w:hint="eastAsia"/>
          <w:lang w:eastAsia="zh-CN"/>
        </w:rPr>
        <w:t>No need to further enhance Rel-15 SUO mechanism for EN-DC with LTE-FDD-PCell.</w:t>
      </w:r>
    </w:p>
    <w:p>
      <w:pPr>
        <w:pStyle w:val="140"/>
        <w:numPr>
          <w:ilvl w:val="0"/>
          <w:numId w:val="0"/>
        </w:numPr>
        <w:ind w:leftChars="0"/>
        <w:rPr>
          <w:lang w:eastAsia="zh-CN"/>
        </w:rPr>
      </w:pPr>
      <w:r>
        <w:rPr>
          <w:rFonts w:hint="eastAsia"/>
          <w:b/>
          <w:bCs/>
          <w:lang w:val="en-US" w:eastAsia="zh-CN"/>
        </w:rPr>
        <w:t xml:space="preserve">Observation 6: </w:t>
      </w:r>
      <w:r>
        <w:rPr>
          <w:rFonts w:hint="eastAsia"/>
          <w:lang w:eastAsia="zh-CN"/>
        </w:rPr>
        <w:t>Reusing eIMTA mechanism can allow all UL subframes for SUO UEs for EN-DC with LTE-TDD-PCell.</w:t>
      </w:r>
    </w:p>
    <w:p>
      <w:pPr>
        <w:rPr>
          <w:rFonts w:hint="default"/>
          <w:lang w:val="en-US" w:eastAsia="zh-CN"/>
        </w:rPr>
      </w:pPr>
      <w:r>
        <w:rPr>
          <w:rFonts w:hint="eastAsia"/>
          <w:b/>
          <w:bCs/>
          <w:i/>
          <w:iCs/>
          <w:lang w:val="en-US" w:eastAsia="zh-CN"/>
        </w:rPr>
        <w:t>Proposal 1:</w:t>
      </w:r>
      <w:r>
        <w:rPr>
          <w:rFonts w:hint="eastAsia"/>
          <w:lang w:val="en-US" w:eastAsia="zh-CN"/>
        </w:rPr>
        <w:t xml:space="preserve"> </w:t>
      </w:r>
      <w:r>
        <w:rPr>
          <w:rFonts w:hint="eastAsia"/>
          <w:i/>
          <w:iCs/>
          <w:lang w:val="en-US" w:eastAsia="zh-CN"/>
        </w:rPr>
        <w:t>Separate UE capability of eIMTA semi-static configuration and L1 signaling to support single Tx switched uplink for EN-DC with LTE-TDD-PCell in Rel-16 and keep them optional.</w:t>
      </w:r>
    </w:p>
    <w:p>
      <w:pPr>
        <w:numPr>
          <w:ilvl w:val="0"/>
          <w:numId w:val="0"/>
        </w:numPr>
        <w:ind w:leftChars="0"/>
        <w:rPr>
          <w:rFonts w:hint="eastAsia"/>
          <w:lang w:eastAsia="zh-CN"/>
        </w:rPr>
      </w:pPr>
      <w:r>
        <w:rPr>
          <w:rFonts w:hint="eastAsia"/>
          <w:b/>
          <w:bCs/>
          <w:i/>
          <w:iCs/>
          <w:lang w:val="en-US" w:eastAsia="zh-CN"/>
        </w:rPr>
        <w:t>Proposal 2:</w:t>
      </w:r>
      <w:r>
        <w:rPr>
          <w:rFonts w:hint="eastAsia"/>
          <w:lang w:val="en-US" w:eastAsia="zh-CN"/>
        </w:rPr>
        <w:t xml:space="preserve"> </w:t>
      </w:r>
      <w:r>
        <w:rPr>
          <w:rFonts w:hint="eastAsia"/>
          <w:i/>
          <w:iCs/>
          <w:lang w:val="en-US" w:eastAsia="zh-CN"/>
        </w:rPr>
        <w:t>Reuse the existing eIMTA signaling as much as possible to reduce the standardization workload.</w:t>
      </w:r>
    </w:p>
    <w:p>
      <w:pPr>
        <w:pStyle w:val="2"/>
        <w:rPr>
          <w:lang w:eastAsia="zh-CN"/>
        </w:rPr>
      </w:pPr>
      <w:r>
        <w:rPr>
          <w:rFonts w:hint="eastAsia"/>
          <w:lang w:eastAsia="zh-CN"/>
        </w:rPr>
        <w:t>R</w:t>
      </w:r>
      <w:r>
        <w:rPr>
          <w:lang w:eastAsia="zh-CN"/>
        </w:rPr>
        <w:t>eference</w:t>
      </w:r>
    </w:p>
    <w:p>
      <w:pPr>
        <w:pStyle w:val="125"/>
        <w:rPr>
          <w:lang w:eastAsia="zh-CN"/>
        </w:rPr>
      </w:pPr>
      <w:bookmarkStart w:id="8" w:name="_Ref5899"/>
      <w:r>
        <w:rPr>
          <w:rFonts w:hint="eastAsia"/>
          <w:lang w:eastAsia="zh-CN"/>
        </w:rPr>
        <w:t>Draft Report of 3GPP TSG RAN WG1 #AH_1901 v0.1.0, Taipei, Jan. 21–25, 2019</w:t>
      </w:r>
      <w:r>
        <w:rPr>
          <w:rFonts w:asciiTheme="minorEastAsia" w:hAnsiTheme="minorEastAsia" w:eastAsiaTheme="minorEastAsia"/>
          <w:lang w:eastAsia="zh-CN"/>
        </w:rPr>
        <w:t>.</w:t>
      </w:r>
      <w:bookmarkEnd w:id="8"/>
    </w:p>
    <w:p>
      <w:pPr>
        <w:pStyle w:val="125"/>
        <w:rPr>
          <w:lang w:eastAsia="zh-CN"/>
        </w:rPr>
      </w:pPr>
      <w:bookmarkStart w:id="9" w:name="_Ref19973"/>
      <w:r>
        <w:rPr>
          <w:rFonts w:hint="eastAsia"/>
          <w:lang w:eastAsia="zh-CN"/>
        </w:rPr>
        <w:t>R1-1808001, Final Report of 3GPP TSG RAN WG1 #93 v1.0.0, Busan, South Korea, May, 21–25, 2018.</w:t>
      </w:r>
      <w:bookmarkEnd w:id="9"/>
    </w:p>
    <w:p>
      <w:pPr>
        <w:pStyle w:val="125"/>
        <w:rPr>
          <w:lang w:eastAsia="zh-CN"/>
        </w:rPr>
      </w:pPr>
      <w:bookmarkStart w:id="10" w:name="_Ref24372"/>
      <w:bookmarkStart w:id="11" w:name="_Ref8841"/>
      <w:r>
        <w:rPr>
          <w:rFonts w:hint="eastAsia"/>
          <w:lang w:eastAsia="zh-CN"/>
        </w:rPr>
        <w:t>3GPP TS 36.306</w:t>
      </w:r>
      <w:bookmarkEnd w:id="10"/>
      <w:r>
        <w:rPr>
          <w:rFonts w:hint="eastAsia"/>
          <w:lang w:val="en-US" w:eastAsia="zh-CN"/>
        </w:rPr>
        <w:t>, User Equipment (UE) radio access capabilities, December, 2018.</w:t>
      </w:r>
      <w:bookmarkEnd w:id="11"/>
    </w:p>
    <w:p>
      <w:pPr>
        <w:pStyle w:val="125"/>
        <w:rPr>
          <w:lang w:eastAsia="zh-CN"/>
        </w:rPr>
      </w:pPr>
      <w:bookmarkStart w:id="12" w:name="_Ref529"/>
      <w:r>
        <w:rPr>
          <w:rFonts w:hint="eastAsia"/>
          <w:lang w:eastAsia="zh-CN"/>
        </w:rPr>
        <w:t>R1-1900921, Enhancements for EN-DC Single-Tx TDM Operation, Taipei, January 21–25, 2019.</w:t>
      </w:r>
      <w:bookmarkEnd w:id="12"/>
    </w:p>
    <w:p>
      <w:pPr>
        <w:pStyle w:val="125"/>
        <w:rPr>
          <w:lang w:eastAsia="zh-CN"/>
        </w:rPr>
      </w:pPr>
      <w:bookmarkStart w:id="13" w:name="_Ref535"/>
      <w:r>
        <w:rPr>
          <w:rFonts w:hint="eastAsia"/>
          <w:lang w:eastAsia="zh-CN"/>
        </w:rPr>
        <w:t>R1-1900755, Single Tx switched UL support for EN-DC with LTE TDD PCell, Taipei, January 21–25, 2019.</w:t>
      </w:r>
      <w:bookmarkEnd w:id="13"/>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1"/>
      </w:rPr>
      <w:fldChar w:fldCharType="begin"/>
    </w:r>
    <w:r>
      <w:rPr>
        <w:rStyle w:val="51"/>
      </w:rPr>
      <w:instrText xml:space="preserve"> PAGE </w:instrText>
    </w:r>
    <w:r>
      <w:rPr>
        <w:rStyle w:val="51"/>
      </w:rPr>
      <w:fldChar w:fldCharType="separate"/>
    </w:r>
    <w:r>
      <w:rPr>
        <w:rStyle w:val="51"/>
      </w:rPr>
      <w:t>2</w:t>
    </w:r>
    <w:r>
      <w:rPr>
        <w:rStyle w:val="51"/>
      </w:rPr>
      <w:fldChar w:fldCharType="end"/>
    </w:r>
    <w:r>
      <w:rPr>
        <w:rStyle w:val="51"/>
      </w:rPr>
      <w:t>/</w:t>
    </w:r>
    <w:r>
      <w:rPr>
        <w:rStyle w:val="51"/>
      </w:rPr>
      <w:fldChar w:fldCharType="begin"/>
    </w:r>
    <w:r>
      <w:rPr>
        <w:rStyle w:val="51"/>
      </w:rPr>
      <w:instrText xml:space="preserve"> NUMPAGES </w:instrText>
    </w:r>
    <w:r>
      <w:rPr>
        <w:rStyle w:val="51"/>
      </w:rPr>
      <w:fldChar w:fldCharType="separate"/>
    </w:r>
    <w:r>
      <w:rPr>
        <w:rStyle w:val="51"/>
      </w:rPr>
      <w:t>3</w:t>
    </w:r>
    <w:r>
      <w:rPr>
        <w:rStyle w:val="5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1"/>
      </w:rPr>
    </w:pPr>
    <w:r>
      <w:rPr>
        <w:rStyle w:val="51"/>
      </w:rPr>
      <w:fldChar w:fldCharType="begin"/>
    </w:r>
    <w:r>
      <w:rPr>
        <w:rStyle w:val="51"/>
      </w:rPr>
      <w:instrText xml:space="preserve">PAGE  </w:instrText>
    </w:r>
    <w:r>
      <w:rPr>
        <w:rStyle w:val="5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3"/>
      <w:lvlText w:val=""/>
      <w:lvlJc w:val="left"/>
      <w:pPr>
        <w:tabs>
          <w:tab w:val="left" w:pos="360"/>
        </w:tabs>
        <w:ind w:left="360" w:hanging="360"/>
      </w:pPr>
      <w:rPr>
        <w:rFonts w:hint="default" w:ascii="Symbol" w:hAnsi="Symbol"/>
      </w:rPr>
    </w:lvl>
  </w:abstractNum>
  <w:abstractNum w:abstractNumId="2">
    <w:nsid w:val="30BC5591"/>
    <w:multiLevelType w:val="multilevel"/>
    <w:tmpl w:val="30BC55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33524BA"/>
    <w:multiLevelType w:val="multilevel"/>
    <w:tmpl w:val="333524BA"/>
    <w:lvl w:ilvl="0" w:tentative="0">
      <w:start w:val="1"/>
      <w:numFmt w:val="decimal"/>
      <w:pStyle w:val="138"/>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5"/>
      <w:lvlText w:val="[%1]"/>
      <w:lvlJc w:val="left"/>
      <w:pPr>
        <w:tabs>
          <w:tab w:val="left" w:pos="360"/>
        </w:tabs>
        <w:ind w:left="360" w:hanging="360"/>
      </w:pPr>
    </w:lvl>
  </w:abstractNum>
  <w:abstractNum w:abstractNumId="5">
    <w:nsid w:val="61F003CC"/>
    <w:multiLevelType w:val="multilevel"/>
    <w:tmpl w:val="61F003CC"/>
    <w:lvl w:ilvl="0" w:tentative="0">
      <w:start w:val="1"/>
      <w:numFmt w:val="decimal"/>
      <w:pStyle w:val="137"/>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0"/>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0"/>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6"/>
  </w:num>
  <w:num w:numId="4">
    <w:abstractNumId w:val="4"/>
  </w:num>
  <w:num w:numId="5">
    <w:abstractNumId w:val="8"/>
  </w:num>
  <w:num w:numId="6">
    <w:abstractNumId w:val="5"/>
  </w:num>
  <w:num w:numId="7">
    <w:abstractNumId w:val="3"/>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012"/>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0B"/>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6E6A"/>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A4D"/>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7A6"/>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3B4"/>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8FD"/>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683"/>
    <w:rsid w:val="006F1D86"/>
    <w:rsid w:val="006F1E30"/>
    <w:rsid w:val="006F20A6"/>
    <w:rsid w:val="006F20A7"/>
    <w:rsid w:val="006F25FE"/>
    <w:rsid w:val="006F291E"/>
    <w:rsid w:val="006F2F4D"/>
    <w:rsid w:val="006F3052"/>
    <w:rsid w:val="006F314D"/>
    <w:rsid w:val="006F3B01"/>
    <w:rsid w:val="006F3C66"/>
    <w:rsid w:val="006F4189"/>
    <w:rsid w:val="006F468E"/>
    <w:rsid w:val="006F5231"/>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0DF9"/>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8D4"/>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6FC"/>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328"/>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07"/>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2FA3"/>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C0"/>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42"/>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91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61"/>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D7E07"/>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284643E"/>
    <w:rsid w:val="03532C3F"/>
    <w:rsid w:val="067D4C1C"/>
    <w:rsid w:val="07C21FA9"/>
    <w:rsid w:val="0957797D"/>
    <w:rsid w:val="0972706B"/>
    <w:rsid w:val="09C21BB6"/>
    <w:rsid w:val="0AFC60B7"/>
    <w:rsid w:val="0BAD7041"/>
    <w:rsid w:val="0C6F5654"/>
    <w:rsid w:val="0D132BA9"/>
    <w:rsid w:val="0D660AC2"/>
    <w:rsid w:val="10150A41"/>
    <w:rsid w:val="1257267A"/>
    <w:rsid w:val="12A472D8"/>
    <w:rsid w:val="12FE321B"/>
    <w:rsid w:val="140A2B4A"/>
    <w:rsid w:val="141F2191"/>
    <w:rsid w:val="14311084"/>
    <w:rsid w:val="156F5E40"/>
    <w:rsid w:val="1575AEB2"/>
    <w:rsid w:val="15E32413"/>
    <w:rsid w:val="164B218F"/>
    <w:rsid w:val="165E068A"/>
    <w:rsid w:val="16EA33CE"/>
    <w:rsid w:val="1702D3F2"/>
    <w:rsid w:val="188D2058"/>
    <w:rsid w:val="192B740B"/>
    <w:rsid w:val="19E41005"/>
    <w:rsid w:val="1AE437FD"/>
    <w:rsid w:val="1C766428"/>
    <w:rsid w:val="1C93277C"/>
    <w:rsid w:val="1DD50930"/>
    <w:rsid w:val="1DF407BB"/>
    <w:rsid w:val="1F850095"/>
    <w:rsid w:val="1FB91CD0"/>
    <w:rsid w:val="20910CB1"/>
    <w:rsid w:val="20CD42FE"/>
    <w:rsid w:val="21282288"/>
    <w:rsid w:val="223A5522"/>
    <w:rsid w:val="23680C07"/>
    <w:rsid w:val="239E142D"/>
    <w:rsid w:val="245870DE"/>
    <w:rsid w:val="247247A7"/>
    <w:rsid w:val="27DD67CA"/>
    <w:rsid w:val="28B07E55"/>
    <w:rsid w:val="2A0F0B23"/>
    <w:rsid w:val="2D376513"/>
    <w:rsid w:val="2DC863F1"/>
    <w:rsid w:val="2ED41F6C"/>
    <w:rsid w:val="2F6B12D5"/>
    <w:rsid w:val="32567AB1"/>
    <w:rsid w:val="32FE23BF"/>
    <w:rsid w:val="330E6893"/>
    <w:rsid w:val="33BA77EB"/>
    <w:rsid w:val="34DA2D6E"/>
    <w:rsid w:val="3511129D"/>
    <w:rsid w:val="359455FE"/>
    <w:rsid w:val="36CD07B0"/>
    <w:rsid w:val="375C57D7"/>
    <w:rsid w:val="3A135075"/>
    <w:rsid w:val="3AB31D0C"/>
    <w:rsid w:val="3D7642C9"/>
    <w:rsid w:val="3E7347F4"/>
    <w:rsid w:val="3EF83C43"/>
    <w:rsid w:val="3F175FC8"/>
    <w:rsid w:val="3FD010A5"/>
    <w:rsid w:val="41AC1D9C"/>
    <w:rsid w:val="4242619A"/>
    <w:rsid w:val="42B20782"/>
    <w:rsid w:val="42C67AEA"/>
    <w:rsid w:val="43100AA6"/>
    <w:rsid w:val="44917C93"/>
    <w:rsid w:val="47AE2F53"/>
    <w:rsid w:val="49143A16"/>
    <w:rsid w:val="496938E0"/>
    <w:rsid w:val="4AFD68AF"/>
    <w:rsid w:val="4BCB047E"/>
    <w:rsid w:val="4CA149AE"/>
    <w:rsid w:val="4EAC0AFF"/>
    <w:rsid w:val="4EC2021D"/>
    <w:rsid w:val="4FBB77F4"/>
    <w:rsid w:val="50D824D7"/>
    <w:rsid w:val="50FD13B2"/>
    <w:rsid w:val="522B6B67"/>
    <w:rsid w:val="55D01D97"/>
    <w:rsid w:val="57EF6871"/>
    <w:rsid w:val="58240039"/>
    <w:rsid w:val="595A121E"/>
    <w:rsid w:val="5AF07FF7"/>
    <w:rsid w:val="5AF422E5"/>
    <w:rsid w:val="5BB5345A"/>
    <w:rsid w:val="5F631FA8"/>
    <w:rsid w:val="656027FF"/>
    <w:rsid w:val="66457E51"/>
    <w:rsid w:val="6A782EAA"/>
    <w:rsid w:val="6B704279"/>
    <w:rsid w:val="6F42491F"/>
    <w:rsid w:val="709763B5"/>
    <w:rsid w:val="72E1752D"/>
    <w:rsid w:val="73A015C2"/>
    <w:rsid w:val="73A913CF"/>
    <w:rsid w:val="74000A47"/>
    <w:rsid w:val="74885606"/>
    <w:rsid w:val="75740E00"/>
    <w:rsid w:val="763A080C"/>
    <w:rsid w:val="76EB5B39"/>
    <w:rsid w:val="776F4F23"/>
    <w:rsid w:val="78156E78"/>
    <w:rsid w:val="782D5EAF"/>
    <w:rsid w:val="789F1175"/>
    <w:rsid w:val="7931734A"/>
    <w:rsid w:val="7ADB38D4"/>
    <w:rsid w:val="7DD2691C"/>
    <w:rsid w:val="7E3563A1"/>
    <w:rsid w:val="7E9326F9"/>
    <w:rsid w:val="7EE20452"/>
    <w:rsid w:val="7EFE7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3"/>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32"/>
    </w:rPr>
  </w:style>
  <w:style w:type="paragraph" w:styleId="4">
    <w:name w:val="heading 3"/>
    <w:basedOn w:val="3"/>
    <w:next w:val="1"/>
    <w:link w:val="105"/>
    <w:qFormat/>
    <w:uiPriority w:val="0"/>
    <w:pPr>
      <w:numPr>
        <w:ilvl w:val="2"/>
      </w:numPr>
      <w:spacing w:before="120"/>
      <w:outlineLvl w:val="2"/>
    </w:pPr>
    <w:rPr>
      <w:sz w:val="28"/>
    </w:rPr>
  </w:style>
  <w:style w:type="paragraph" w:styleId="5">
    <w:name w:val="heading 4"/>
    <w:basedOn w:val="4"/>
    <w:next w:val="1"/>
    <w:link w:val="106"/>
    <w:qFormat/>
    <w:uiPriority w:val="0"/>
    <w:pPr>
      <w:numPr>
        <w:ilvl w:val="3"/>
      </w:numPr>
      <w:outlineLvl w:val="3"/>
    </w:pPr>
    <w:rPr>
      <w:sz w:val="24"/>
    </w:rPr>
  </w:style>
  <w:style w:type="paragraph" w:styleId="6">
    <w:name w:val="heading 5"/>
    <w:basedOn w:val="5"/>
    <w:next w:val="1"/>
    <w:link w:val="107"/>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9">
    <w:name w:val="Default Paragraph Font"/>
    <w:semiHidden/>
    <w:unhideWhenUsed/>
    <w:qFormat/>
    <w:uiPriority w:val="1"/>
  </w:style>
  <w:style w:type="table" w:default="1" w:styleId="5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7"/>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9"/>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7"/>
    <w:qFormat/>
    <w:uiPriority w:val="0"/>
    <w:pPr>
      <w:spacing w:after="120"/>
    </w:pPr>
    <w:rPr>
      <w:sz w:val="22"/>
      <w:szCs w:val="24"/>
    </w:rPr>
  </w:style>
  <w:style w:type="paragraph" w:styleId="34">
    <w:name w:val="List Bullet 5"/>
    <w:basedOn w:val="26"/>
    <w:qFormat/>
    <w:uiPriority w:val="0"/>
    <w:pPr>
      <w:ind w:left="1702"/>
    </w:pPr>
  </w:style>
  <w:style w:type="paragraph" w:styleId="35">
    <w:name w:val="toc 8"/>
    <w:basedOn w:val="23"/>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6"/>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5"/>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Strong"/>
    <w:basedOn w:val="49"/>
    <w:qFormat/>
    <w:uiPriority w:val="0"/>
    <w:rPr>
      <w:b/>
      <w:bCs/>
    </w:rPr>
  </w:style>
  <w:style w:type="character" w:styleId="51">
    <w:name w:val="page number"/>
    <w:basedOn w:val="49"/>
    <w:qFormat/>
    <w:uiPriority w:val="0"/>
  </w:style>
  <w:style w:type="character" w:styleId="52">
    <w:name w:val="FollowedHyperlink"/>
    <w:basedOn w:val="49"/>
    <w:semiHidden/>
    <w:unhideWhenUsed/>
    <w:qFormat/>
    <w:uiPriority w:val="0"/>
    <w:rPr>
      <w:color w:val="954F72" w:themeColor="followedHyperlink"/>
      <w:u w:val="single"/>
      <w14:textFill>
        <w14:solidFill>
          <w14:schemeClr w14:val="folHlink"/>
        </w14:solidFill>
      </w14:textFill>
    </w:rPr>
  </w:style>
  <w:style w:type="character" w:styleId="53">
    <w:name w:val="Emphasis"/>
    <w:basedOn w:val="49"/>
    <w:qFormat/>
    <w:uiPriority w:val="0"/>
    <w:rPr>
      <w:i/>
      <w:iCs/>
    </w:rPr>
  </w:style>
  <w:style w:type="character" w:styleId="54">
    <w:name w:val="Hyperlink"/>
    <w:qFormat/>
    <w:uiPriority w:val="99"/>
    <w:rPr>
      <w:color w:val="0000FF"/>
      <w:u w:val="single"/>
    </w:rPr>
  </w:style>
  <w:style w:type="character" w:styleId="55">
    <w:name w:val="annotation reference"/>
    <w:semiHidden/>
    <w:qFormat/>
    <w:uiPriority w:val="0"/>
    <w:rPr>
      <w:sz w:val="16"/>
      <w:szCs w:val="16"/>
    </w:rPr>
  </w:style>
  <w:style w:type="character" w:styleId="56">
    <w:name w:val="footnote reference"/>
    <w:semiHidden/>
    <w:qFormat/>
    <w:uiPriority w:val="0"/>
    <w:rPr>
      <w:b/>
      <w:position w:val="6"/>
      <w:sz w:val="16"/>
    </w:rPr>
  </w:style>
  <w:style w:type="table" w:styleId="58">
    <w:name w:val="Table Grid"/>
    <w:basedOn w:val="57"/>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1">
    <w:name w:val="TT"/>
    <w:basedOn w:val="2"/>
    <w:next w:val="1"/>
    <w:qFormat/>
    <w:uiPriority w:val="0"/>
    <w:pPr>
      <w:outlineLvl w:val="9"/>
    </w:pPr>
  </w:style>
  <w:style w:type="paragraph" w:customStyle="1" w:styleId="62">
    <w:name w:val="TAH"/>
    <w:basedOn w:val="63"/>
    <w:qFormat/>
    <w:uiPriority w:val="0"/>
    <w:rPr>
      <w:b/>
    </w:rPr>
  </w:style>
  <w:style w:type="paragraph" w:customStyle="1" w:styleId="63">
    <w:name w:val="TAC"/>
    <w:basedOn w:val="64"/>
    <w:link w:val="122"/>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link w:val="123"/>
    <w:qFormat/>
    <w:uiPriority w:val="0"/>
    <w:pPr>
      <w:keepNext/>
      <w:keepLines/>
      <w:spacing w:before="60"/>
      <w:jc w:val="center"/>
    </w:pPr>
    <w:rPr>
      <w:rFonts w:ascii="Arial" w:hAnsi="Arial"/>
      <w:b/>
    </w:rPr>
  </w:style>
  <w:style w:type="paragraph" w:customStyle="1" w:styleId="67">
    <w:name w:val="NO"/>
    <w:basedOn w:val="1"/>
    <w:link w:val="132"/>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Editor's Note"/>
    <w:basedOn w:val="67"/>
    <w:qFormat/>
    <w:uiPriority w:val="0"/>
    <w:rPr>
      <w:color w:val="FF0000"/>
    </w:rPr>
  </w:style>
  <w:style w:type="paragraph" w:customStyle="1" w:styleId="86">
    <w:name w:val="B1"/>
    <w:basedOn w:val="14"/>
    <w:link w:val="133"/>
    <w:qFormat/>
    <w:uiPriority w:val="0"/>
    <w:pPr>
      <w:ind w:left="284" w:firstLine="0"/>
    </w:pPr>
  </w:style>
  <w:style w:type="paragraph" w:customStyle="1" w:styleId="87">
    <w:name w:val="B2"/>
    <w:basedOn w:val="13"/>
    <w:link w:val="134"/>
    <w:qFormat/>
    <w:uiPriority w:val="0"/>
    <w:pPr>
      <w:ind w:left="567" w:firstLine="0"/>
    </w:pPr>
  </w:style>
  <w:style w:type="paragraph" w:customStyle="1" w:styleId="88">
    <w:name w:val="B3"/>
    <w:basedOn w:val="12"/>
    <w:qFormat/>
    <w:uiPriority w:val="0"/>
    <w:pPr>
      <w:ind w:left="851" w:firstLine="0"/>
    </w:pPr>
  </w:style>
  <w:style w:type="paragraph" w:customStyle="1" w:styleId="89">
    <w:name w:val="B4"/>
    <w:basedOn w:val="42"/>
    <w:qFormat/>
    <w:uiPriority w:val="0"/>
    <w:pPr>
      <w:ind w:left="1134" w:firstLine="0"/>
    </w:pPr>
  </w:style>
  <w:style w:type="paragraph" w:customStyle="1" w:styleId="90">
    <w:name w:val="B5"/>
    <w:basedOn w:val="41"/>
    <w:qFormat/>
    <w:uiPriority w:val="0"/>
    <w:pPr>
      <w:ind w:left="1418" w:firstLine="0"/>
    </w:pPr>
  </w:style>
  <w:style w:type="paragraph" w:customStyle="1" w:styleId="91">
    <w:name w:val="ZTD"/>
    <w:basedOn w:val="79"/>
    <w:qFormat/>
    <w:uiPriority w:val="0"/>
    <w:pPr>
      <w:framePr w:hRule="auto" w:y="852"/>
    </w:pPr>
    <w:rPr>
      <w:i w:val="0"/>
      <w:sz w:val="40"/>
    </w:rPr>
  </w:style>
  <w:style w:type="character" w:customStyle="1" w:styleId="92">
    <w:name w:val="MTEquationSection"/>
    <w:qFormat/>
    <w:uiPriority w:val="0"/>
    <w:rPr>
      <w:rFonts w:ascii="Arial" w:hAnsi="Arial"/>
      <w:color w:val="FF0000"/>
      <w:sz w:val="24"/>
    </w:rPr>
  </w:style>
  <w:style w:type="paragraph" w:customStyle="1" w:styleId="93">
    <w:name w:val="Bulleted o 1"/>
    <w:basedOn w:val="1"/>
    <w:qFormat/>
    <w:uiPriority w:val="0"/>
    <w:pPr>
      <w:numPr>
        <w:ilvl w:val="0"/>
        <w:numId w:val="2"/>
      </w:numPr>
    </w:pPr>
  </w:style>
  <w:style w:type="paragraph" w:customStyle="1" w:styleId="94">
    <w:name w:val="text"/>
    <w:basedOn w:val="1"/>
    <w:qFormat/>
    <w:uiPriority w:val="0"/>
    <w:pPr>
      <w:spacing w:after="240"/>
    </w:pPr>
    <w:rPr>
      <w:sz w:val="24"/>
      <w:lang w:eastAsia="zh-CN"/>
    </w:rPr>
  </w:style>
  <w:style w:type="paragraph" w:customStyle="1" w:styleId="95">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6">
    <w:name w:val="00 BodyText"/>
    <w:basedOn w:val="1"/>
    <w:qFormat/>
    <w:uiPriority w:val="0"/>
    <w:pPr>
      <w:spacing w:after="220"/>
    </w:pPr>
    <w:rPr>
      <w:rFonts w:ascii="Arial" w:hAnsi="Arial"/>
      <w:sz w:val="22"/>
    </w:rPr>
  </w:style>
  <w:style w:type="paragraph" w:customStyle="1" w:styleId="97">
    <w:name w:val="11 BodyText"/>
    <w:basedOn w:val="1"/>
    <w:qFormat/>
    <w:uiPriority w:val="0"/>
    <w:pPr>
      <w:spacing w:after="220"/>
      <w:ind w:left="1298"/>
    </w:pPr>
    <w:rPr>
      <w:rFonts w:ascii="Arial" w:hAnsi="Arial"/>
      <w:sz w:val="22"/>
    </w:rPr>
  </w:style>
  <w:style w:type="paragraph" w:customStyle="1" w:styleId="98">
    <w:name w:val="table"/>
    <w:basedOn w:val="94"/>
    <w:next w:val="94"/>
    <w:qFormat/>
    <w:uiPriority w:val="0"/>
    <w:pPr>
      <w:spacing w:after="0"/>
      <w:jc w:val="center"/>
    </w:pPr>
    <w:rPr>
      <w:sz w:val="20"/>
    </w:rPr>
  </w:style>
  <w:style w:type="paragraph" w:customStyle="1" w:styleId="99">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0">
    <w:name w:val="Heading 1 Char"/>
    <w:qFormat/>
    <w:uiPriority w:val="0"/>
    <w:rPr>
      <w:rFonts w:ascii="Arial" w:hAnsi="Arial"/>
      <w:sz w:val="36"/>
      <w:lang w:val="en-GB" w:eastAsia="en-US" w:bidi="ar-SA"/>
    </w:rPr>
  </w:style>
  <w:style w:type="paragraph" w:customStyle="1" w:styleId="101">
    <w:name w:val="body"/>
    <w:basedOn w:val="1"/>
    <w:qFormat/>
    <w:uiPriority w:val="0"/>
    <w:pPr>
      <w:tabs>
        <w:tab w:val="left" w:pos="2160"/>
      </w:tabs>
      <w:spacing w:before="120" w:after="120" w:line="280" w:lineRule="atLeast"/>
    </w:pPr>
    <w:rPr>
      <w:rFonts w:ascii="New York" w:hAnsi="New York"/>
      <w:sz w:val="24"/>
    </w:rPr>
  </w:style>
  <w:style w:type="paragraph" w:customStyle="1" w:styleId="102">
    <w:name w:val="CR Cover Page"/>
    <w:qFormat/>
    <w:uiPriority w:val="0"/>
    <w:pPr>
      <w:spacing w:after="120"/>
    </w:pPr>
    <w:rPr>
      <w:rFonts w:ascii="Arial" w:hAnsi="Arial" w:eastAsia="MS Mincho" w:cs="Times New Roman"/>
      <w:lang w:val="en-GB" w:eastAsia="en-US" w:bidi="ar-SA"/>
    </w:rPr>
  </w:style>
  <w:style w:type="character" w:customStyle="1" w:styleId="103">
    <w:name w:val="标题 1 Char"/>
    <w:link w:val="2"/>
    <w:qFormat/>
    <w:uiPriority w:val="0"/>
    <w:rPr>
      <w:rFonts w:ascii="Arial" w:hAnsi="Arial" w:eastAsia="宋体"/>
      <w:sz w:val="32"/>
      <w:lang w:val="en-GB" w:eastAsia="en-US"/>
    </w:rPr>
  </w:style>
  <w:style w:type="character" w:customStyle="1" w:styleId="104">
    <w:name w:val="标题 2 Char"/>
    <w:link w:val="3"/>
    <w:qFormat/>
    <w:uiPriority w:val="0"/>
    <w:rPr>
      <w:rFonts w:ascii="Arial" w:hAnsi="Arial"/>
      <w:sz w:val="32"/>
      <w:lang w:val="en-GB" w:eastAsia="en-US"/>
    </w:rPr>
  </w:style>
  <w:style w:type="character" w:customStyle="1" w:styleId="105">
    <w:name w:val="标题 3 Char"/>
    <w:link w:val="4"/>
    <w:qFormat/>
    <w:uiPriority w:val="0"/>
    <w:rPr>
      <w:rFonts w:ascii="Arial" w:hAnsi="Arial"/>
      <w:sz w:val="28"/>
      <w:lang w:val="en-GB" w:eastAsia="en-US"/>
    </w:rPr>
  </w:style>
  <w:style w:type="character" w:customStyle="1" w:styleId="106">
    <w:name w:val="标题 4 Char"/>
    <w:link w:val="5"/>
    <w:qFormat/>
    <w:uiPriority w:val="0"/>
    <w:rPr>
      <w:rFonts w:ascii="Arial" w:hAnsi="Arial"/>
      <w:sz w:val="24"/>
      <w:lang w:val="en-GB" w:eastAsia="en-US"/>
    </w:rPr>
  </w:style>
  <w:style w:type="character" w:customStyle="1" w:styleId="107">
    <w:name w:val="标题 5 Char"/>
    <w:link w:val="6"/>
    <w:qFormat/>
    <w:uiPriority w:val="0"/>
    <w:rPr>
      <w:rFonts w:ascii="Arial" w:hAnsi="Arial"/>
      <w:sz w:val="22"/>
      <w:lang w:val="en-GB" w:eastAsia="en-US"/>
    </w:rPr>
  </w:style>
  <w:style w:type="character" w:customStyle="1" w:styleId="108">
    <w:name w:val="Char Char3"/>
    <w:qFormat/>
    <w:uiPriority w:val="0"/>
    <w:rPr>
      <w:rFonts w:ascii="Arial" w:hAnsi="Arial"/>
      <w:sz w:val="36"/>
      <w:lang w:val="en-GB" w:eastAsia="en-US" w:bidi="ar-SA"/>
    </w:rPr>
  </w:style>
  <w:style w:type="character" w:customStyle="1" w:styleId="109">
    <w:name w:val="Char Char2"/>
    <w:qFormat/>
    <w:uiPriority w:val="0"/>
    <w:rPr>
      <w:rFonts w:ascii="Arial" w:hAnsi="Arial"/>
      <w:sz w:val="32"/>
      <w:lang w:val="en-GB" w:eastAsia="en-US" w:bidi="ar-SA"/>
    </w:rPr>
  </w:style>
  <w:style w:type="character" w:customStyle="1" w:styleId="110">
    <w:name w:val="Char Char1"/>
    <w:qFormat/>
    <w:uiPriority w:val="0"/>
    <w:rPr>
      <w:rFonts w:ascii="Arial" w:hAnsi="Arial"/>
      <w:sz w:val="28"/>
      <w:lang w:val="en-GB" w:eastAsia="en-US" w:bidi="ar-SA"/>
    </w:rPr>
  </w:style>
  <w:style w:type="character" w:customStyle="1" w:styleId="111">
    <w:name w:val="h4 Char Char"/>
    <w:qFormat/>
    <w:uiPriority w:val="0"/>
    <w:rPr>
      <w:rFonts w:ascii="Arial" w:hAnsi="Arial"/>
      <w:sz w:val="24"/>
      <w:lang w:val="en-GB" w:eastAsia="en-US" w:bidi="ar-SA"/>
    </w:rPr>
  </w:style>
  <w:style w:type="character" w:customStyle="1" w:styleId="112">
    <w:name w:val="Char Char"/>
    <w:qFormat/>
    <w:uiPriority w:val="0"/>
    <w:rPr>
      <w:rFonts w:ascii="Arial" w:hAnsi="Arial"/>
      <w:sz w:val="22"/>
      <w:lang w:val="en-GB" w:eastAsia="en-US" w:bidi="ar-SA"/>
    </w:rPr>
  </w:style>
  <w:style w:type="paragraph" w:styleId="113">
    <w:name w:val="List Paragraph"/>
    <w:basedOn w:val="1"/>
    <w:link w:val="124"/>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4">
    <w:name w:val="Reference"/>
    <w:basedOn w:val="68"/>
    <w:qFormat/>
    <w:uiPriority w:val="0"/>
    <w:pPr>
      <w:tabs>
        <w:tab w:val="left" w:pos="360"/>
      </w:tabs>
      <w:suppressAutoHyphens/>
      <w:autoSpaceDN/>
      <w:adjustRightInd/>
      <w:ind w:left="0" w:firstLine="0"/>
    </w:pPr>
    <w:rPr>
      <w:lang w:eastAsia="ar-SA"/>
    </w:rPr>
  </w:style>
  <w:style w:type="character" w:customStyle="1" w:styleId="115">
    <w:name w:val="副标题 Char"/>
    <w:link w:val="39"/>
    <w:qFormat/>
    <w:uiPriority w:val="0"/>
    <w:rPr>
      <w:rFonts w:ascii="Cambria" w:hAnsi="Cambria" w:eastAsia="Times New Roman" w:cs="Times New Roman"/>
      <w:sz w:val="24"/>
      <w:szCs w:val="24"/>
      <w:lang w:val="en-GB"/>
    </w:rPr>
  </w:style>
  <w:style w:type="paragraph" w:customStyle="1" w:styleId="116">
    <w:name w:val="修订1"/>
    <w:hidden/>
    <w:semiHidden/>
    <w:qFormat/>
    <w:uiPriority w:val="99"/>
    <w:rPr>
      <w:rFonts w:ascii="Times New Roman" w:hAnsi="Times New Roman" w:eastAsia="宋体" w:cs="Times New Roman"/>
      <w:lang w:val="en-GB" w:eastAsia="en-US" w:bidi="ar-SA"/>
    </w:rPr>
  </w:style>
  <w:style w:type="character" w:customStyle="1" w:styleId="117">
    <w:name w:val="批注文字 Char"/>
    <w:link w:val="16"/>
    <w:qFormat/>
    <w:uiPriority w:val="0"/>
    <w:rPr>
      <w:rFonts w:ascii="Times New Roman" w:hAnsi="Times New Roman"/>
      <w:lang w:val="en-GB"/>
    </w:rPr>
  </w:style>
  <w:style w:type="paragraph" w:customStyle="1" w:styleId="118">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0">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1">
    <w:name w:val="Placeholder Text"/>
    <w:semiHidden/>
    <w:qFormat/>
    <w:uiPriority w:val="99"/>
    <w:rPr>
      <w:color w:val="808080"/>
    </w:rPr>
  </w:style>
  <w:style w:type="character" w:customStyle="1" w:styleId="122">
    <w:name w:val="TAC Char"/>
    <w:link w:val="63"/>
    <w:qFormat/>
    <w:uiPriority w:val="0"/>
    <w:rPr>
      <w:rFonts w:ascii="Arial" w:hAnsi="Arial"/>
      <w:sz w:val="18"/>
      <w:lang w:val="en-GB" w:eastAsia="en-US"/>
    </w:rPr>
  </w:style>
  <w:style w:type="character" w:customStyle="1" w:styleId="123">
    <w:name w:val="TH Char"/>
    <w:link w:val="66"/>
    <w:qFormat/>
    <w:uiPriority w:val="0"/>
    <w:rPr>
      <w:rFonts w:ascii="Arial" w:hAnsi="Arial"/>
      <w:b/>
      <w:lang w:val="en-GB" w:eastAsia="en-US"/>
    </w:rPr>
  </w:style>
  <w:style w:type="character" w:customStyle="1" w:styleId="124">
    <w:name w:val="列出段落 Char"/>
    <w:link w:val="113"/>
    <w:qFormat/>
    <w:locked/>
    <w:uiPriority w:val="34"/>
    <w:rPr>
      <w:rFonts w:ascii="Times New Roman" w:hAnsi="Times New Roman" w:eastAsia="Calibri"/>
      <w:szCs w:val="22"/>
      <w:lang w:val="en-GB" w:eastAsia="en-US"/>
    </w:rPr>
  </w:style>
  <w:style w:type="paragraph" w:customStyle="1" w:styleId="125">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6">
    <w:name w:val="页脚 Char"/>
    <w:basedOn w:val="49"/>
    <w:link w:val="37"/>
    <w:qFormat/>
    <w:uiPriority w:val="99"/>
    <w:rPr>
      <w:rFonts w:ascii="Arial" w:hAnsi="Arial"/>
      <w:b/>
      <w:i/>
      <w:sz w:val="18"/>
      <w:lang w:eastAsia="en-US"/>
    </w:rPr>
  </w:style>
  <w:style w:type="character" w:customStyle="1" w:styleId="127">
    <w:name w:val="正文文本 Char"/>
    <w:basedOn w:val="49"/>
    <w:link w:val="33"/>
    <w:qFormat/>
    <w:uiPriority w:val="0"/>
    <w:rPr>
      <w:sz w:val="22"/>
      <w:szCs w:val="24"/>
      <w:lang w:eastAsia="en-US"/>
    </w:rPr>
  </w:style>
  <w:style w:type="table" w:customStyle="1" w:styleId="128">
    <w:name w:val="网格表 4 - 着色 11"/>
    <w:basedOn w:val="57"/>
    <w:qFormat/>
    <w:uiPriority w:val="49"/>
    <w:rPr>
      <w:rFonts w:asciiTheme="minorHAnsi" w:hAnsiTheme="minorHAnsi" w:eastAsiaTheme="minorHAnsi" w:cstheme="minorBid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29">
    <w:name w:val="题注 Char"/>
    <w:link w:val="30"/>
    <w:qFormat/>
    <w:uiPriority w:val="99"/>
    <w:rPr>
      <w:rFonts w:ascii="Times New Roman" w:hAnsi="Times New Roman"/>
      <w:b/>
      <w:bCs/>
      <w:lang w:eastAsia="en-US"/>
    </w:rPr>
  </w:style>
  <w:style w:type="paragraph" w:customStyle="1" w:styleId="130">
    <w:name w:val="Proposal"/>
    <w:basedOn w:val="1"/>
    <w:link w:val="131"/>
    <w:qFormat/>
    <w:uiPriority w:val="0"/>
    <w:pPr>
      <w:numPr>
        <w:ilvl w:val="0"/>
        <w:numId w:val="5"/>
      </w:numPr>
      <w:tabs>
        <w:tab w:val="left" w:pos="1152"/>
      </w:tabs>
      <w:spacing w:before="240" w:after="240"/>
      <w:ind w:left="0" w:firstLine="0"/>
    </w:pPr>
    <w:rPr>
      <w:rFonts w:eastAsia="MS Mincho"/>
      <w:i/>
      <w:lang w:eastAsia="ja-JP"/>
    </w:rPr>
  </w:style>
  <w:style w:type="character" w:customStyle="1" w:styleId="131">
    <w:name w:val="Proposal Char"/>
    <w:basedOn w:val="49"/>
    <w:link w:val="130"/>
    <w:qFormat/>
    <w:uiPriority w:val="0"/>
    <w:rPr>
      <w:rFonts w:eastAsia="MS Mincho"/>
      <w:i/>
      <w:lang w:eastAsia="ja-JP"/>
    </w:rPr>
  </w:style>
  <w:style w:type="character" w:customStyle="1" w:styleId="132">
    <w:name w:val="NO Char"/>
    <w:basedOn w:val="49"/>
    <w:link w:val="67"/>
    <w:qFormat/>
    <w:locked/>
    <w:uiPriority w:val="0"/>
    <w:rPr>
      <w:rFonts w:ascii="Times New Roman" w:hAnsi="Times New Roman"/>
      <w:lang w:eastAsia="en-US"/>
    </w:rPr>
  </w:style>
  <w:style w:type="character" w:customStyle="1" w:styleId="133">
    <w:name w:val="B1 Char1"/>
    <w:basedOn w:val="49"/>
    <w:link w:val="86"/>
    <w:qFormat/>
    <w:locked/>
    <w:uiPriority w:val="0"/>
    <w:rPr>
      <w:lang w:eastAsia="en-US"/>
    </w:rPr>
  </w:style>
  <w:style w:type="character" w:customStyle="1" w:styleId="134">
    <w:name w:val="B2 Char"/>
    <w:basedOn w:val="49"/>
    <w:link w:val="87"/>
    <w:qFormat/>
    <w:locked/>
    <w:uiPriority w:val="0"/>
    <w:rPr>
      <w:lang w:eastAsia="en-US"/>
    </w:rPr>
  </w:style>
  <w:style w:type="character" w:customStyle="1" w:styleId="135">
    <w:name w:val="明显强调1"/>
    <w:basedOn w:val="49"/>
    <w:qFormat/>
    <w:uiPriority w:val="21"/>
    <w:rPr>
      <w:i/>
      <w:iCs/>
      <w:color w:val="5B9BD5" w:themeColor="accent1"/>
      <w14:textFill>
        <w14:solidFill>
          <w14:schemeClr w14:val="accent1"/>
        </w14:solidFill>
      </w14:textFill>
    </w:rPr>
  </w:style>
  <w:style w:type="character" w:customStyle="1" w:styleId="136">
    <w:name w:val="不明显强调1"/>
    <w:basedOn w:val="49"/>
    <w:qFormat/>
    <w:uiPriority w:val="19"/>
    <w:rPr>
      <w:i/>
      <w:iCs/>
      <w:color w:val="404040" w:themeColor="text1" w:themeTint="BF"/>
      <w14:textFill>
        <w14:solidFill>
          <w14:schemeClr w14:val="tx1">
            <w14:lumMod w14:val="75000"/>
            <w14:lumOff w14:val="25000"/>
          </w14:schemeClr>
        </w14:solidFill>
      </w14:textFill>
    </w:rPr>
  </w:style>
  <w:style w:type="paragraph" w:customStyle="1" w:styleId="137">
    <w:name w:val="Figure"/>
    <w:basedOn w:val="1"/>
    <w:link w:val="139"/>
    <w:qFormat/>
    <w:uiPriority w:val="0"/>
    <w:pPr>
      <w:numPr>
        <w:ilvl w:val="0"/>
        <w:numId w:val="6"/>
      </w:numPr>
      <w:jc w:val="center"/>
    </w:pPr>
  </w:style>
  <w:style w:type="paragraph" w:customStyle="1" w:styleId="138">
    <w:name w:val="Table"/>
    <w:basedOn w:val="137"/>
    <w:link w:val="141"/>
    <w:qFormat/>
    <w:uiPriority w:val="0"/>
    <w:pPr>
      <w:numPr>
        <w:numId w:val="7"/>
      </w:numPr>
    </w:pPr>
  </w:style>
  <w:style w:type="character" w:customStyle="1" w:styleId="139">
    <w:name w:val="Figure Char"/>
    <w:basedOn w:val="49"/>
    <w:link w:val="137"/>
    <w:qFormat/>
    <w:uiPriority w:val="0"/>
    <w:rPr>
      <w:rFonts w:ascii="Times New Roman" w:hAnsi="Times New Roman"/>
      <w:lang w:eastAsia="en-US"/>
    </w:rPr>
  </w:style>
  <w:style w:type="paragraph" w:customStyle="1" w:styleId="140">
    <w:name w:val="Observation"/>
    <w:basedOn w:val="130"/>
    <w:link w:val="142"/>
    <w:qFormat/>
    <w:uiPriority w:val="0"/>
    <w:pPr>
      <w:numPr>
        <w:ilvl w:val="0"/>
        <w:numId w:val="8"/>
      </w:numPr>
      <w:ind w:left="0" w:firstLine="0"/>
    </w:pPr>
  </w:style>
  <w:style w:type="character" w:customStyle="1" w:styleId="141">
    <w:name w:val="Table Char"/>
    <w:basedOn w:val="139"/>
    <w:link w:val="138"/>
    <w:qFormat/>
    <w:uiPriority w:val="0"/>
    <w:rPr>
      <w:rFonts w:ascii="Times New Roman" w:hAnsi="Times New Roman"/>
      <w:lang w:eastAsia="en-US"/>
    </w:rPr>
  </w:style>
  <w:style w:type="character" w:customStyle="1" w:styleId="142">
    <w:name w:val="Observation Char"/>
    <w:basedOn w:val="131"/>
    <w:link w:val="140"/>
    <w:qFormat/>
    <w:uiPriority w:val="0"/>
    <w:rPr>
      <w:rFonts w:eastAsia="MS Mincho"/>
      <w:lang w:eastAsia="ja-JP"/>
    </w:rPr>
  </w:style>
  <w:style w:type="table" w:customStyle="1" w:styleId="143">
    <w:name w:val="Table Grid1"/>
    <w:basedOn w:val="57"/>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
    <w:name w:val="Table Normal1"/>
    <w:basedOn w:val="57"/>
    <w:semiHidden/>
    <w:qFormat/>
    <w:uiPriority w:val="0"/>
    <w:rPr>
      <w:rFonts w:eastAsia="CG Times (WN)"/>
    </w:rPr>
    <w:tblPr>
      <w:tblLayout w:type="fixed"/>
      <w:tblCellMar>
        <w:top w:w="0" w:type="dxa"/>
        <w:left w:w="108" w:type="dxa"/>
        <w:bottom w:w="0" w:type="dxa"/>
        <w:right w:w="108" w:type="dxa"/>
      </w:tblCellMar>
    </w:tblPr>
  </w:style>
  <w:style w:type="character" w:customStyle="1" w:styleId="145">
    <w:name w:val="Subtle Emphasis1"/>
    <w:basedOn w:val="49"/>
    <w:qFormat/>
    <w:uiPriority w:val="19"/>
    <w:rPr>
      <w:i/>
      <w:iCs/>
      <w:color w:val="404040" w:themeColor="text1" w:themeTint="BF"/>
      <w14:textFill>
        <w14:solidFill>
          <w14:schemeClr w14:val="tx1">
            <w14:lumMod w14:val="75000"/>
            <w14:lumOff w14:val="25000"/>
          </w14:schemeClr>
        </w14:solidFill>
      </w14:textFill>
    </w:rPr>
  </w:style>
  <w:style w:type="character" w:customStyle="1" w:styleId="146">
    <w:name w:val="Intense Emphasis1"/>
    <w:basedOn w:val="49"/>
    <w:qFormat/>
    <w:uiPriority w:val="21"/>
    <w:rPr>
      <w:i/>
      <w:iCs/>
      <w:color w:val="5B9BD5" w:themeColor="accent1"/>
      <w14:textFill>
        <w14:solidFill>
          <w14:schemeClr w14:val="accent1"/>
        </w14:solidFill>
      </w14:textFill>
    </w:rPr>
  </w:style>
  <w:style w:type="character" w:customStyle="1" w:styleId="147">
    <w:name w:val="Subtle Reference1"/>
    <w:basedOn w:val="49"/>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8">
    <w:name w:val="Book Title1"/>
    <w:basedOn w:val="49"/>
    <w:qFormat/>
    <w:uiPriority w:val="33"/>
    <w:rPr>
      <w:b/>
      <w:bCs/>
      <w:i/>
      <w:iCs/>
      <w:spacing w:val="5"/>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datastoreItem>
</file>

<file path=customXml/itemProps3.xml><?xml version="1.0" encoding="utf-8"?>
<ds:datastoreItem xmlns:ds="http://schemas.openxmlformats.org/officeDocument/2006/customXml" ds:itemID="{4C0CC436-FC17-4BED-8817-0BC8D885F69B}">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3</Pages>
  <Words>1035</Words>
  <Characters>5902</Characters>
  <Lines>49</Lines>
  <Paragraphs>13</Paragraphs>
  <TotalTime>1</TotalTime>
  <ScaleCrop>false</ScaleCrop>
  <LinksUpToDate>false</LinksUpToDate>
  <CharactersWithSpaces>6924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2019-02-13T03:12:00Z</dcterms:created>
  <dc:creator>ZTE Corporation</dc:creator>
  <cp:lastModifiedBy>ZTE</cp:lastModifiedBy>
  <cp:lastPrinted>2018-04-07T03:05:00Z</cp:lastPrinted>
  <dcterms:modified xsi:type="dcterms:W3CDTF">2019-02-16T02:34:42Z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